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49" w:rsidRPr="004B7D00" w:rsidRDefault="00BE6349" w:rsidP="00BE6349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4B7D00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BE6349" w:rsidRPr="004B7D00" w:rsidRDefault="00BE6349" w:rsidP="00BE6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6349" w:rsidRPr="004B7D00" w:rsidRDefault="00BE6349" w:rsidP="00BE6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D0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74CCF" w:rsidRPr="004B7D00" w:rsidTr="00E74CCF">
        <w:trPr>
          <w:trHeight w:val="80"/>
        </w:trPr>
        <w:tc>
          <w:tcPr>
            <w:tcW w:w="675" w:type="dxa"/>
          </w:tcPr>
          <w:p w:rsidR="00BE6349" w:rsidRPr="004B7D00" w:rsidRDefault="00AF6F6D" w:rsidP="00BE634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E6349" w:rsidRPr="004B7D00" w:rsidRDefault="00BE6349" w:rsidP="00BE634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D00">
              <w:rPr>
                <w:rFonts w:ascii="Times New Roman" w:eastAsia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BE6349" w:rsidRPr="004B7D00" w:rsidRDefault="00BE6349" w:rsidP="00BE634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D00">
              <w:rPr>
                <w:rFonts w:ascii="Times New Roman" w:eastAsia="Times New Roman" w:hAnsi="Times New Roman"/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BE6349" w:rsidRPr="004B7D00" w:rsidRDefault="00BE6349" w:rsidP="00BE634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D00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E6349" w:rsidRPr="004B7D00" w:rsidRDefault="00BE6349" w:rsidP="00BE634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D0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E6349" w:rsidRPr="004B7D00" w:rsidRDefault="00385181" w:rsidP="00BE6349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1206</w:t>
            </w:r>
          </w:p>
        </w:tc>
      </w:tr>
    </w:tbl>
    <w:p w:rsidR="008C61D7" w:rsidRPr="004B7D00" w:rsidRDefault="008C61D7" w:rsidP="008C61D7">
      <w:pPr>
        <w:jc w:val="center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jc w:val="center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7B4B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657A20">
        <w:rPr>
          <w:rFonts w:ascii="Times New Roman" w:hAnsi="Times New Roman"/>
          <w:sz w:val="28"/>
          <w:szCs w:val="28"/>
        </w:rPr>
        <w:t>п</w:t>
      </w:r>
      <w:r w:rsidR="003A6EC1">
        <w:rPr>
          <w:rFonts w:ascii="Times New Roman" w:hAnsi="Times New Roman"/>
          <w:sz w:val="28"/>
          <w:szCs w:val="28"/>
        </w:rPr>
        <w:t>рогноз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 городского округа  Ставропольского края на 2022 год и на период до 2024 года</w:t>
      </w:r>
      <w:r w:rsidR="00867B4B">
        <w:rPr>
          <w:rFonts w:ascii="Times New Roman" w:hAnsi="Times New Roman"/>
          <w:sz w:val="28"/>
          <w:szCs w:val="28"/>
        </w:rPr>
        <w:t>, утвержденный постановлением администрации Благодарненского городского округа Ставропольского края от 05 октября 2021 года № 1094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514B26" w:rsidP="008C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C61D7">
        <w:rPr>
          <w:rFonts w:ascii="Times New Roman" w:hAnsi="Times New Roman"/>
          <w:sz w:val="28"/>
          <w:szCs w:val="28"/>
        </w:rPr>
        <w:t>дминистрация Благодарненского городского округа Ставропольского края</w:t>
      </w: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BE6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6EC1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26">
        <w:rPr>
          <w:rFonts w:ascii="Times New Roman" w:hAnsi="Times New Roman"/>
          <w:sz w:val="28"/>
          <w:szCs w:val="28"/>
        </w:rPr>
        <w:t>в</w:t>
      </w:r>
      <w:r w:rsidR="003A6EC1">
        <w:rPr>
          <w:rFonts w:ascii="Times New Roman" w:hAnsi="Times New Roman"/>
          <w:sz w:val="28"/>
          <w:szCs w:val="28"/>
        </w:rPr>
        <w:t xml:space="preserve"> </w:t>
      </w:r>
      <w:r w:rsidR="00657A20">
        <w:rPr>
          <w:rFonts w:ascii="Times New Roman" w:hAnsi="Times New Roman"/>
          <w:sz w:val="28"/>
          <w:szCs w:val="28"/>
        </w:rPr>
        <w:t>п</w:t>
      </w:r>
      <w:r w:rsidR="003A6EC1">
        <w:rPr>
          <w:rFonts w:ascii="Times New Roman" w:hAnsi="Times New Roman"/>
          <w:sz w:val="28"/>
          <w:szCs w:val="28"/>
        </w:rPr>
        <w:t>рогноз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 городского округа Ставропольского края на 2022 год и на период до 2024 года</w:t>
      </w:r>
      <w:r w:rsidR="003A6EC1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Благодарненского городского округа Ставропольского края от 05 октября 2021 года № 1094 </w:t>
      </w:r>
      <w:r w:rsidR="00657A20">
        <w:rPr>
          <w:rFonts w:ascii="Times New Roman" w:hAnsi="Times New Roman"/>
          <w:sz w:val="28"/>
          <w:szCs w:val="28"/>
        </w:rPr>
        <w:t>«Об утверждении 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7A20">
        <w:rPr>
          <w:rFonts w:ascii="Times New Roman" w:hAnsi="Times New Roman"/>
          <w:sz w:val="28"/>
          <w:szCs w:val="28"/>
        </w:rPr>
        <w:t>социально-экономического развития Благодарненского городского округа Ставропольского края на 2022 год и на период до 2024 года»</w:t>
      </w:r>
      <w:r w:rsidR="00657A20" w:rsidRPr="00657A20">
        <w:rPr>
          <w:rFonts w:ascii="Times New Roman" w:hAnsi="Times New Roman"/>
          <w:sz w:val="28"/>
          <w:szCs w:val="28"/>
        </w:rPr>
        <w:t xml:space="preserve"> </w:t>
      </w:r>
      <w:r w:rsidR="00657A20">
        <w:rPr>
          <w:rFonts w:ascii="Times New Roman" w:hAnsi="Times New Roman"/>
          <w:sz w:val="28"/>
          <w:szCs w:val="28"/>
        </w:rPr>
        <w:t xml:space="preserve">изменения, изложив </w:t>
      </w:r>
      <w:r w:rsidR="00BE6349">
        <w:rPr>
          <w:rFonts w:ascii="Times New Roman" w:hAnsi="Times New Roman"/>
          <w:sz w:val="28"/>
          <w:szCs w:val="28"/>
        </w:rPr>
        <w:t>его</w:t>
      </w:r>
      <w:r w:rsidR="00657A20">
        <w:rPr>
          <w:rFonts w:ascii="Times New Roman" w:hAnsi="Times New Roman"/>
          <w:sz w:val="28"/>
          <w:szCs w:val="28"/>
        </w:rPr>
        <w:t xml:space="preserve"> в прилагаемой редакции.</w:t>
      </w:r>
    </w:p>
    <w:p w:rsidR="008C61D7" w:rsidRDefault="008C61D7" w:rsidP="00BE6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1D7" w:rsidRDefault="00657A20" w:rsidP="00BE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C61D7">
        <w:rPr>
          <w:rFonts w:ascii="Times New Roman" w:hAnsi="Times New Roman"/>
          <w:color w:val="000000"/>
          <w:sz w:val="28"/>
          <w:szCs w:val="28"/>
        </w:rPr>
        <w:t>.</w:t>
      </w:r>
      <w:r w:rsidR="008C61D7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</w:t>
      </w:r>
      <w:r w:rsidR="008C61D7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- начальника финансового управления администрации Благодарненского городского округа Ставропольского края</w:t>
      </w:r>
      <w:r w:rsidR="008C61D7">
        <w:rPr>
          <w:rFonts w:ascii="Times New Roman" w:hAnsi="Times New Roman"/>
          <w:sz w:val="28"/>
          <w:szCs w:val="28"/>
        </w:rPr>
        <w:t xml:space="preserve"> Кузнецову Л.В.</w:t>
      </w:r>
    </w:p>
    <w:p w:rsidR="00BE6349" w:rsidRDefault="00BE6349" w:rsidP="00BE6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1D7" w:rsidRDefault="00657A20" w:rsidP="00BE6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61D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53C20" w:rsidRDefault="00C53C20" w:rsidP="00C53C2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3C20" w:rsidRDefault="00C53C20" w:rsidP="00C53C2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3C20" w:rsidRDefault="00657A20" w:rsidP="00C53C2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C53C20">
        <w:rPr>
          <w:rFonts w:ascii="Times New Roman" w:hAnsi="Times New Roman"/>
          <w:sz w:val="28"/>
          <w:szCs w:val="28"/>
        </w:rPr>
        <w:t>Г</w:t>
      </w:r>
      <w:r w:rsidR="008C61D7">
        <w:rPr>
          <w:rFonts w:ascii="Times New Roman" w:hAnsi="Times New Roman"/>
          <w:sz w:val="28"/>
          <w:szCs w:val="28"/>
        </w:rPr>
        <w:t>лав</w:t>
      </w:r>
      <w:r w:rsidR="00C53C20">
        <w:rPr>
          <w:rFonts w:ascii="Times New Roman" w:hAnsi="Times New Roman"/>
          <w:sz w:val="28"/>
          <w:szCs w:val="28"/>
        </w:rPr>
        <w:t>ы</w:t>
      </w:r>
    </w:p>
    <w:p w:rsidR="00C53C20" w:rsidRDefault="00C53C20" w:rsidP="00C53C2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округа         </w:t>
      </w:r>
    </w:p>
    <w:p w:rsidR="008C61D7" w:rsidRDefault="00C53C20" w:rsidP="00C53C20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1830F5">
        <w:rPr>
          <w:rFonts w:ascii="Times New Roman" w:hAnsi="Times New Roman"/>
          <w:sz w:val="28"/>
          <w:szCs w:val="28"/>
        </w:rPr>
        <w:t>,</w:t>
      </w:r>
      <w:r w:rsidR="008C61D7">
        <w:rPr>
          <w:rFonts w:ascii="Times New Roman" w:hAnsi="Times New Roman"/>
          <w:sz w:val="28"/>
          <w:szCs w:val="28"/>
        </w:rPr>
        <w:t xml:space="preserve"> </w:t>
      </w:r>
    </w:p>
    <w:p w:rsidR="001830F5" w:rsidRDefault="001830F5" w:rsidP="008C61D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BE63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администрации</w:t>
      </w:r>
    </w:p>
    <w:p w:rsidR="008C61D7" w:rsidRDefault="008C61D7" w:rsidP="008C61D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округа         </w:t>
      </w:r>
    </w:p>
    <w:p w:rsidR="008C61D7" w:rsidRDefault="008C61D7" w:rsidP="008C61D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C53C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C53C2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C53C20">
        <w:rPr>
          <w:rFonts w:ascii="Times New Roman" w:hAnsi="Times New Roman"/>
          <w:sz w:val="28"/>
          <w:szCs w:val="28"/>
        </w:rPr>
        <w:t>Федюнина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61D7" w:rsidRDefault="008C61D7" w:rsidP="008C61D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>
      <w:pPr>
        <w:sectPr w:rsidR="008C61D7" w:rsidSect="008C61D7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8C61D7" w:rsidRDefault="008C61D7"/>
    <w:tbl>
      <w:tblPr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7642"/>
        <w:gridCol w:w="7643"/>
      </w:tblGrid>
      <w:tr w:rsidR="009E47BD" w:rsidRPr="009E47BD" w:rsidTr="009E47BD">
        <w:trPr>
          <w:trHeight w:val="892"/>
        </w:trPr>
        <w:tc>
          <w:tcPr>
            <w:tcW w:w="7642" w:type="dxa"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9E47BD" w:rsidRPr="009E47BD" w:rsidRDefault="002D72EF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9E47BD" w:rsidRPr="009E47BD" w:rsidRDefault="00F402D8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постановлением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 администрации  Благодарненского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городского округа Ставропольского края</w:t>
            </w:r>
          </w:p>
          <w:p w:rsidR="009E47BD" w:rsidRDefault="00CE7C8E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 05 октября 2021 года № 1094</w:t>
            </w:r>
          </w:p>
          <w:p w:rsidR="00CE7C8E" w:rsidRDefault="00CE7C8E" w:rsidP="00CE7C8E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 редакции постановления администрации </w:t>
            </w:r>
          </w:p>
          <w:p w:rsidR="00CE7C8E" w:rsidRDefault="00CE7C8E" w:rsidP="00CE7C8E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CE7C8E" w:rsidRDefault="00CE7C8E" w:rsidP="00CE7C8E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Ставропольского края</w:t>
            </w:r>
          </w:p>
          <w:p w:rsidR="00CE7C8E" w:rsidRPr="009E47BD" w:rsidRDefault="00385181" w:rsidP="00CE7C8E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 03 ноября 2021 года № 1206</w:t>
            </w:r>
            <w:bookmarkStart w:id="0" w:name="_GoBack"/>
            <w:bookmarkEnd w:id="0"/>
          </w:p>
        </w:tc>
      </w:tr>
    </w:tbl>
    <w:p w:rsidR="009E47BD" w:rsidRDefault="009E47BD" w:rsidP="009E47B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CE7C8E" w:rsidRPr="009E47BD" w:rsidRDefault="00CE7C8E" w:rsidP="009E47B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9E47BD" w:rsidRPr="009E47BD" w:rsidRDefault="009E47BD" w:rsidP="00CC069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9E47BD">
        <w:rPr>
          <w:rFonts w:ascii="Times New Roman" w:eastAsiaTheme="minorHAnsi" w:hAnsi="Times New Roman"/>
          <w:sz w:val="28"/>
          <w:szCs w:val="28"/>
        </w:rPr>
        <w:t>ПРОГНОЗ</w:t>
      </w:r>
    </w:p>
    <w:p w:rsidR="009E47BD" w:rsidRPr="009E47BD" w:rsidRDefault="009E47BD" w:rsidP="009E47B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9E47BD">
        <w:rPr>
          <w:rFonts w:ascii="Times New Roman" w:eastAsiaTheme="minorHAnsi" w:hAnsi="Times New Roman"/>
          <w:sz w:val="28"/>
          <w:szCs w:val="28"/>
        </w:rPr>
        <w:t>социально-экономического развития Благодарненского городского округа Ставропольского края</w:t>
      </w:r>
    </w:p>
    <w:p w:rsidR="009E47BD" w:rsidRPr="009E47BD" w:rsidRDefault="009E47BD" w:rsidP="009E47B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9E47BD">
        <w:rPr>
          <w:rFonts w:ascii="Times New Roman" w:eastAsiaTheme="minorHAnsi" w:hAnsi="Times New Roman"/>
          <w:sz w:val="28"/>
          <w:szCs w:val="28"/>
        </w:rPr>
        <w:t>на 202</w:t>
      </w:r>
      <w:r w:rsidR="00701CDF">
        <w:rPr>
          <w:rFonts w:ascii="Times New Roman" w:eastAsiaTheme="minorHAnsi" w:hAnsi="Times New Roman"/>
          <w:sz w:val="28"/>
          <w:szCs w:val="28"/>
        </w:rPr>
        <w:t>2</w:t>
      </w:r>
      <w:r w:rsidRPr="009E47BD">
        <w:rPr>
          <w:rFonts w:ascii="Times New Roman" w:eastAsiaTheme="minorHAnsi" w:hAnsi="Times New Roman"/>
          <w:sz w:val="28"/>
          <w:szCs w:val="28"/>
        </w:rPr>
        <w:t xml:space="preserve"> год и на период до 202</w:t>
      </w:r>
      <w:r w:rsidR="00701CDF">
        <w:rPr>
          <w:rFonts w:ascii="Times New Roman" w:eastAsiaTheme="minorHAnsi" w:hAnsi="Times New Roman"/>
          <w:sz w:val="28"/>
          <w:szCs w:val="28"/>
        </w:rPr>
        <w:t>4</w:t>
      </w:r>
      <w:r w:rsidRPr="009E47BD">
        <w:rPr>
          <w:rFonts w:ascii="Times New Roman" w:eastAsiaTheme="minorHAnsi" w:hAnsi="Times New Roman"/>
          <w:sz w:val="28"/>
          <w:szCs w:val="28"/>
        </w:rPr>
        <w:t xml:space="preserve"> года</w:t>
      </w:r>
    </w:p>
    <w:p w:rsidR="009E47BD" w:rsidRPr="009E47BD" w:rsidRDefault="009E47BD" w:rsidP="009E47B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E47BD" w:rsidRPr="009E47BD" w:rsidTr="00860B2D">
        <w:trPr>
          <w:trHeight w:val="8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ind w:left="-108" w:right="-108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701CDF" w:rsidP="009E47BD">
            <w:pPr>
              <w:tabs>
                <w:tab w:val="left" w:pos="1026"/>
              </w:tabs>
              <w:spacing w:after="0" w:line="240" w:lineRule="exact"/>
              <w:ind w:left="-108" w:right="-108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оценка показателя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прогноз</w:t>
            </w:r>
          </w:p>
        </w:tc>
      </w:tr>
      <w:tr w:rsidR="009E47BD" w:rsidRPr="009E47BD" w:rsidTr="00860B2D">
        <w:trPr>
          <w:trHeight w:val="8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201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4</w:t>
            </w:r>
          </w:p>
        </w:tc>
      </w:tr>
      <w:tr w:rsidR="009E47BD" w:rsidRPr="009E47BD" w:rsidTr="00860B2D">
        <w:trPr>
          <w:cantSplit/>
          <w:trHeight w:val="63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консерватив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BD" w:rsidRPr="009E47BD" w:rsidRDefault="009E47BD" w:rsidP="009E47BD">
            <w:pPr>
              <w:spacing w:after="0" w:line="240" w:lineRule="exact"/>
              <w:ind w:left="-108" w:right="-108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базовый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консер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ватив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BD" w:rsidRPr="009E47BD" w:rsidRDefault="009E47BD" w:rsidP="009E47BD">
            <w:pPr>
              <w:spacing w:after="0" w:line="240" w:lineRule="exact"/>
              <w:ind w:right="-108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базовый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консер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ватив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9E47BD">
            <w:pPr>
              <w:spacing w:after="0" w:line="240" w:lineRule="exact"/>
              <w:ind w:right="-108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базовый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1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1.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населения (в среднегодовом исчислении)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A9690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57,2</w:t>
            </w:r>
            <w:r w:rsidR="00A96905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76FEA" w:rsidP="00A9690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</w:t>
            </w:r>
            <w:r w:rsidR="00A9690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A9690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</w:t>
            </w:r>
            <w:r w:rsidR="00A96905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A9690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57,2</w:t>
            </w:r>
            <w:r w:rsidR="00A96905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9E47BD" w:rsidRPr="009E47BD" w:rsidTr="00860B2D">
        <w:trPr>
          <w:trHeight w:val="1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населения трудоспособного возраста</w:t>
            </w:r>
          </w:p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(на 01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C52F3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</w:t>
            </w:r>
            <w:r w:rsidR="00C52F37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76FEA" w:rsidP="00C52F3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30,6</w:t>
            </w:r>
            <w:r w:rsidR="00C52F3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30,65</w:t>
            </w:r>
          </w:p>
        </w:tc>
      </w:tr>
      <w:tr w:rsidR="009E47BD" w:rsidRPr="009E47BD" w:rsidTr="00B31486">
        <w:trPr>
          <w:trHeight w:val="2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населения старше трудоспособного возраста</w:t>
            </w:r>
          </w:p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(на 01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612D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C52F3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</w:t>
            </w:r>
            <w:r w:rsidR="00C52F3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4B6BD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</w:t>
            </w:r>
            <w:r w:rsidR="004B6BD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76FEA" w:rsidP="00C52F3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</w:t>
            </w:r>
            <w:r w:rsidR="004B6BD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C52F3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C52F3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</w:t>
            </w:r>
            <w:r w:rsidR="00C52F37">
              <w:rPr>
                <w:rFonts w:ascii="Times New Roman" w:eastAsiaTheme="minorHAnsi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C52F3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52F3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52F3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13,8</w:t>
            </w:r>
          </w:p>
        </w:tc>
      </w:tr>
      <w:tr w:rsidR="00051AA3" w:rsidRPr="009E47BD" w:rsidTr="00B31486">
        <w:trPr>
          <w:trHeight w:val="1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A3" w:rsidRPr="009E47BD" w:rsidRDefault="00051AA3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Общий коэффициент рождаемости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A3" w:rsidRPr="009E47BD" w:rsidRDefault="00051AA3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число ро</w:t>
            </w:r>
          </w:p>
          <w:p w:rsidR="00860B2D" w:rsidRDefault="00051AA3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HAnsi" w:hAnsi="Times New Roman"/>
                <w:sz w:val="28"/>
                <w:szCs w:val="28"/>
              </w:rPr>
              <w:t>овек</w:t>
            </w:r>
          </w:p>
          <w:p w:rsidR="00051AA3" w:rsidRDefault="00051AA3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населения</w:t>
            </w:r>
          </w:p>
          <w:p w:rsidR="006F18E3" w:rsidRPr="009E47BD" w:rsidRDefault="006F18E3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13,2</w:t>
            </w:r>
          </w:p>
        </w:tc>
      </w:tr>
      <w:tr w:rsidR="009E47BD" w:rsidRPr="009E47BD" w:rsidTr="00B31486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201D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201D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F201D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201D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12,8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Коэффициент естественного прироста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051A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051AA3">
              <w:rPr>
                <w:rFonts w:ascii="Times New Roman" w:eastAsiaTheme="minorHAnsi" w:hAnsi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051A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051AA3">
              <w:rPr>
                <w:rFonts w:ascii="Times New Roman" w:eastAsiaTheme="minorHAnsi" w:hAnsi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8554F3" w:rsidP="00051A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8554F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8554F3">
              <w:rPr>
                <w:rFonts w:ascii="Times New Roman" w:eastAsiaTheme="minorHAnsi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-1,</w:t>
            </w:r>
            <w:r w:rsidR="008554F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8554F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8554F3">
              <w:rPr>
                <w:rFonts w:ascii="Times New Roman" w:eastAsiaTheme="minorHAnsi" w:hAnsi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0,4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051A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8C0107" w:rsidP="008554F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  <w:r w:rsidR="008554F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8C0107" w:rsidP="008554F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</w:t>
            </w:r>
            <w:r w:rsidR="008554F3">
              <w:rPr>
                <w:rFonts w:ascii="Times New Roman" w:eastAsiaTheme="minorHAnsi" w:hAnsi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D7616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0,</w:t>
            </w:r>
            <w:r w:rsidR="00D7616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BC717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  <w:r w:rsidR="00BC717F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C7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</w:t>
            </w:r>
            <w:r w:rsidR="00D7616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0,1</w:t>
            </w:r>
            <w:r w:rsidR="00D7616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D7616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0,1</w:t>
            </w:r>
            <w:r w:rsidR="00D7616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9E47BD" w:rsidRPr="009E47BD" w:rsidTr="00860B2D">
        <w:trPr>
          <w:trHeight w:val="21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312B4" w:rsidRPr="009E47BD" w:rsidTr="00CE7C8E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B4" w:rsidRPr="009E47BD" w:rsidRDefault="004312B4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 промышленным видам экономической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Pr="009E47BD" w:rsidRDefault="004312B4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4312B4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AB2CE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15185,4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15610,6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B4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15686,5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15891,6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B4" w:rsidRDefault="004312B4" w:rsidP="004312B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16416,4</w:t>
            </w:r>
          </w:p>
        </w:tc>
      </w:tr>
      <w:tr w:rsidR="004312B4" w:rsidRPr="009E47BD" w:rsidTr="00CE7C8E">
        <w:trPr>
          <w:trHeight w:val="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B4" w:rsidRPr="009E47BD" w:rsidRDefault="004312B4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Темп роста отгрузки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товаров собственного производства, выполненных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работ и услуг собственными силами по промышленным видам экономической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Pr="009E47BD" w:rsidRDefault="004312B4" w:rsidP="004312B4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процент к предыдущему 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ду в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дейст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вую</w:t>
            </w:r>
          </w:p>
          <w:p w:rsidR="004312B4" w:rsidRPr="009E47BD" w:rsidRDefault="004312B4" w:rsidP="004312B4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CE7C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CE7C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CE7C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CE7C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B4" w:rsidRDefault="004312B4" w:rsidP="00CE7C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CE7C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B4" w:rsidRDefault="004312B4" w:rsidP="00CE7C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CE7C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B4" w:rsidRDefault="004312B4" w:rsidP="00CE7C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102,2</w:t>
            </w:r>
          </w:p>
        </w:tc>
      </w:tr>
      <w:tr w:rsidR="009E47BD" w:rsidRPr="009E47BD" w:rsidTr="00CE7C8E">
        <w:trPr>
          <w:trHeight w:val="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силами: 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312B4" w:rsidP="00860B2D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312B4" w:rsidP="00AB2CE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15039,2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16080,4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312B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16148,1</w:t>
            </w:r>
          </w:p>
        </w:tc>
      </w:tr>
      <w:tr w:rsidR="009E47BD" w:rsidRPr="009E47BD" w:rsidTr="004312B4">
        <w:trPr>
          <w:trHeight w:val="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Темп роста отгрузки: 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6F18E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 к предыдущему 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ду в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дейст</w:t>
            </w:r>
            <w:r w:rsidR="006F18E3">
              <w:rPr>
                <w:rFonts w:ascii="Times New Roman" w:eastAsiaTheme="minorHAnsi" w:hAnsi="Times New Roman"/>
                <w:sz w:val="28"/>
                <w:szCs w:val="28"/>
              </w:rPr>
              <w:t>вую</w:t>
            </w:r>
          </w:p>
          <w:p w:rsidR="009E47BD" w:rsidRPr="009E47BD" w:rsidRDefault="009E47BD" w:rsidP="006F18E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C2EC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C2EC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B2CE1" w:rsidP="00DC2EC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</w:t>
            </w:r>
            <w:r w:rsidR="00DC2ECA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C2EC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DC2EC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C2EC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C2EC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102,7</w:t>
            </w:r>
          </w:p>
        </w:tc>
      </w:tr>
      <w:tr w:rsidR="009E47BD" w:rsidRPr="009E47BD" w:rsidTr="00860B2D">
        <w:trPr>
          <w:trHeight w:val="40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6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1065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949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951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9902,72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951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9928,57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1093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89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9E47B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E3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 к предыду</w:t>
            </w:r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щему го</w:t>
            </w:r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 в сопо</w:t>
            </w:r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D238E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101,90</w:t>
            </w:r>
          </w:p>
        </w:tc>
      </w:tr>
      <w:tr w:rsidR="009E47BD" w:rsidRPr="009E47BD" w:rsidTr="00860B2D">
        <w:trPr>
          <w:trHeight w:val="3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Продукция растениеводства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2117,62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2255,24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2395,79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2443,92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2599,51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2670,03</w:t>
            </w:r>
          </w:p>
        </w:tc>
      </w:tr>
      <w:tr w:rsidR="009E47BD" w:rsidRPr="009E47BD" w:rsidTr="00860B2D">
        <w:trPr>
          <w:trHeight w:val="1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производства продукции растениеводства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E3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 к предыд</w:t>
            </w:r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ущему го</w:t>
            </w:r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ду в сопо</w:t>
            </w:r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76,30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105,05</w:t>
            </w:r>
          </w:p>
        </w:tc>
      </w:tr>
      <w:tr w:rsidR="009E47BD" w:rsidRPr="009E47BD" w:rsidTr="00860B2D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Продукция животноводства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6361,60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7381,35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7669,22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7673,33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7987,16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8330,94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8419,79</w:t>
            </w:r>
          </w:p>
        </w:tc>
      </w:tr>
      <w:tr w:rsidR="009E47BD" w:rsidRPr="009E47BD" w:rsidTr="00860B2D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производства продукции животноводства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E3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 к предыду</w:t>
            </w:r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щему го</w:t>
            </w:r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 в сопо</w:t>
            </w:r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198" w:rsidRPr="009E47BD" w:rsidRDefault="00A05198" w:rsidP="00A051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100,30</w:t>
            </w:r>
          </w:p>
        </w:tc>
      </w:tr>
      <w:tr w:rsidR="009E47BD" w:rsidRPr="009E47BD" w:rsidTr="00860B2D">
        <w:trPr>
          <w:trHeight w:val="3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зерна (в весе после доработки)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320,0</w:t>
            </w:r>
          </w:p>
        </w:tc>
      </w:tr>
      <w:tr w:rsidR="009E47BD" w:rsidRPr="009E47BD" w:rsidTr="00860B2D">
        <w:trPr>
          <w:trHeight w:val="4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Валовой сбор сахарной свеклы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3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семян масличных культур –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951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951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A05198">
              <w:rPr>
                <w:rFonts w:ascii="Times New Roman" w:eastAsiaTheme="minorHAnsi" w:hAnsi="Times New Roman"/>
                <w:sz w:val="28"/>
                <w:szCs w:val="28"/>
              </w:rPr>
              <w:t>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951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A05198">
              <w:rPr>
                <w:rFonts w:ascii="Times New Roman" w:eastAsiaTheme="minorHAnsi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,8</w:t>
            </w:r>
          </w:p>
        </w:tc>
      </w:tr>
      <w:tr w:rsidR="009E47BD" w:rsidRPr="009E47BD" w:rsidTr="00860B2D">
        <w:trPr>
          <w:trHeight w:val="5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 том числе подсолнечника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4,8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4,9</w:t>
            </w:r>
          </w:p>
        </w:tc>
      </w:tr>
      <w:tr w:rsidR="009E47BD" w:rsidRPr="009E47BD" w:rsidTr="00860B2D">
        <w:trPr>
          <w:trHeight w:val="3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картофеля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2,00</w:t>
            </w:r>
          </w:p>
        </w:tc>
      </w:tr>
      <w:tr w:rsidR="009E47BD" w:rsidRPr="009E47BD" w:rsidTr="00860B2D">
        <w:trPr>
          <w:trHeight w:val="3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овощей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4951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A80F05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5,2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5,3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5,3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5,4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9E47BD" w:rsidRPr="009E47BD" w:rsidTr="00860B2D">
        <w:trPr>
          <w:trHeight w:val="4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97,8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97,9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98,0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98,0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98,2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98,1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98,4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9E47BD" w:rsidRPr="009E47BD" w:rsidTr="00860B2D">
        <w:trPr>
          <w:trHeight w:val="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10,4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10,5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10,8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10,6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11,0</w:t>
            </w:r>
          </w:p>
        </w:tc>
      </w:tr>
      <w:tr w:rsidR="009E47BD" w:rsidRPr="009E47BD" w:rsidTr="00860B2D">
        <w:trPr>
          <w:trHeight w:val="41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96,8</w:t>
            </w:r>
            <w:r w:rsidR="004951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98,0</w:t>
            </w:r>
          </w:p>
        </w:tc>
      </w:tr>
      <w:tr w:rsidR="009E47BD" w:rsidRPr="009E47BD" w:rsidTr="00B31486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B31486">
        <w:trPr>
          <w:trHeight w:val="2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тыс. кв.м. в общей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2E7F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</w:t>
            </w:r>
            <w:r w:rsidR="002E7F34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2E7F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</w:t>
            </w:r>
            <w:r w:rsidR="002E7F34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E7F34" w:rsidP="002E7F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6B3DC2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2E7F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</w:t>
            </w:r>
            <w:r w:rsidR="002E7F34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E7F3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2E7F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</w:t>
            </w:r>
            <w:r w:rsidR="002E7F3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9E47BD" w:rsidRPr="009E47BD" w:rsidTr="00B31486">
        <w:trPr>
          <w:trHeight w:val="5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Оборот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9696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9696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1538,38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9696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9696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1589,15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9696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1621,57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9696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9696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1699,4</w:t>
            </w:r>
          </w:p>
        </w:tc>
      </w:tr>
      <w:tr w:rsidR="009E47BD" w:rsidRPr="009E47BD" w:rsidTr="00860B2D">
        <w:trPr>
          <w:trHeight w:val="9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E3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 к предыду</w:t>
            </w:r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щему го</w:t>
            </w:r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 в сопо</w:t>
            </w:r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156F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156F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156F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0156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</w:t>
            </w:r>
            <w:r w:rsidR="000156F3">
              <w:rPr>
                <w:rFonts w:ascii="Times New Roman" w:eastAsiaTheme="minorHAnsi" w:hAnsi="Times New Roman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156F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99,2</w:t>
            </w:r>
            <w:r w:rsidR="000156F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0156F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</w:t>
            </w:r>
            <w:r w:rsidR="000156F3">
              <w:rPr>
                <w:rFonts w:ascii="Times New Roman" w:eastAsiaTheme="minorHAnsi" w:hAnsi="Times New Roman"/>
                <w:sz w:val="28"/>
                <w:szCs w:val="28"/>
              </w:rPr>
              <w:t>77</w:t>
            </w:r>
          </w:p>
        </w:tc>
      </w:tr>
      <w:tr w:rsidR="009E47BD" w:rsidRPr="009E47BD" w:rsidTr="00860B2D">
        <w:trPr>
          <w:trHeight w:val="5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13774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13774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13774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915,84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13774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13774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13774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13774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13774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13774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1010,5</w:t>
            </w:r>
          </w:p>
        </w:tc>
      </w:tr>
      <w:tr w:rsidR="009E47BD" w:rsidRPr="009E47BD" w:rsidTr="00860B2D">
        <w:trPr>
          <w:trHeight w:val="5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физического объема платных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E3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 к предыду</w:t>
            </w:r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щему го</w:t>
            </w:r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 в сопо</w:t>
            </w:r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57B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57B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57B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05895" w:rsidP="00C57B6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</w:t>
            </w:r>
            <w:r w:rsidR="00C57B6E">
              <w:rPr>
                <w:rFonts w:ascii="Times New Roman" w:eastAsiaTheme="minorHAnsi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57B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57B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C57B6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</w:t>
            </w:r>
            <w:r w:rsidR="00C57B6E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</w:tr>
      <w:tr w:rsidR="009E47BD" w:rsidRPr="009E47BD" w:rsidTr="00860B2D">
        <w:trPr>
          <w:trHeight w:val="5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4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Количество малых и сред</w:t>
            </w:r>
          </w:p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них предприятий, включая микропредприятия (на конец года</w:t>
            </w:r>
            <w:r w:rsidR="00B05895">
              <w:rPr>
                <w:rFonts w:ascii="Times New Roman" w:eastAsiaTheme="minorHAnsi" w:hAnsi="Times New Roman"/>
                <w:sz w:val="28"/>
                <w:szCs w:val="28"/>
              </w:rPr>
              <w:t>, без ИП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C57B6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  <w:r w:rsidR="00C57B6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</w:tr>
      <w:tr w:rsidR="009E47BD" w:rsidRPr="009E47BD" w:rsidTr="00860B2D">
        <w:trPr>
          <w:trHeight w:val="4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Среднесписочная числен</w:t>
            </w:r>
          </w:p>
          <w:p w:rsidR="00CC069D" w:rsidRDefault="00CC069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ность работников на предприятиях малого и среднего 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предприниматель</w:t>
            </w:r>
          </w:p>
          <w:p w:rsidR="00CC069D" w:rsidRDefault="00CC069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ства (вклю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чая микропред</w:t>
            </w:r>
          </w:p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приятия) (без внешних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B14A3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1,14</w:t>
            </w:r>
          </w:p>
        </w:tc>
      </w:tr>
      <w:tr w:rsidR="009E47BD" w:rsidRPr="009E47BD" w:rsidTr="00860B2D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Оборот малых и средних предприятий, включая микропредприятия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млрд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46CF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46CF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46CF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46CF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46CF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46CF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46CF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46CF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46CF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3,46</w:t>
            </w:r>
          </w:p>
        </w:tc>
      </w:tr>
      <w:tr w:rsidR="009E47BD" w:rsidRPr="009E47BD" w:rsidTr="00860B2D">
        <w:trPr>
          <w:trHeight w:val="19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10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00B5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D571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D571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3689,77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D571F" w:rsidP="00E70F6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4105,70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D571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4058,75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D571F" w:rsidP="00E70F6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D571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D571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4998,70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3" w:rsidRDefault="004E4D44" w:rsidP="006F18E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  <w:r w:rsidR="00CC069D">
              <w:rPr>
                <w:rFonts w:ascii="Times New Roman" w:eastAsiaTheme="minorHAnsi" w:hAnsi="Times New Roman"/>
                <w:sz w:val="28"/>
                <w:szCs w:val="28"/>
              </w:rPr>
              <w:t xml:space="preserve"> к 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преды</w:t>
            </w:r>
            <w:r w:rsidR="00CC069D">
              <w:rPr>
                <w:rFonts w:ascii="Times New Roman" w:eastAsiaTheme="minorHAnsi" w:hAnsi="Times New Roman"/>
                <w:sz w:val="28"/>
                <w:szCs w:val="28"/>
              </w:rPr>
              <w:t>ду</w:t>
            </w:r>
          </w:p>
          <w:p w:rsidR="006F18E3" w:rsidRDefault="00CC069D" w:rsidP="006F18E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щему го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ду в со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ста</w:t>
            </w:r>
          </w:p>
          <w:p w:rsidR="009E47BD" w:rsidRPr="009E47BD" w:rsidRDefault="009E47BD" w:rsidP="006F18E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00B5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D571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D571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70F67" w:rsidP="00ED571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121,</w:t>
            </w:r>
            <w:r w:rsidR="00ED571F">
              <w:rPr>
                <w:rFonts w:ascii="Times New Roman" w:eastAsiaTheme="minorHAnsi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ED571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</w:t>
            </w:r>
            <w:r w:rsidR="00ED571F">
              <w:rPr>
                <w:rFonts w:ascii="Times New Roman" w:eastAsiaTheme="minorHAnsi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70F67" w:rsidP="00ED571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</w:t>
            </w:r>
            <w:r w:rsidR="00ED571F">
              <w:rPr>
                <w:rFonts w:ascii="Times New Roman" w:eastAsiaTheme="minorHAnsi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00B5F" w:rsidP="00ED571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101,4</w:t>
            </w:r>
            <w:r w:rsidR="00ED571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D571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103,72</w:t>
            </w:r>
          </w:p>
        </w:tc>
      </w:tr>
      <w:tr w:rsidR="009E47BD" w:rsidRPr="009E47BD" w:rsidTr="00B31486">
        <w:trPr>
          <w:trHeight w:val="1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Объем инвестиций в основной капитал за счет всех источников финансиро</w:t>
            </w:r>
          </w:p>
          <w:p w:rsidR="009E47BD" w:rsidRPr="009E47BD" w:rsidRDefault="009E47BD" w:rsidP="0014444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вания (без субъектов малого предпринимательства)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784,76</w:t>
            </w:r>
          </w:p>
        </w:tc>
      </w:tr>
      <w:tr w:rsidR="009E47BD" w:rsidRPr="009E47BD" w:rsidTr="00B31486">
        <w:trPr>
          <w:trHeight w:val="21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Индекс физического объема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E3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 к предыду</w:t>
            </w:r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щему го</w:t>
            </w:r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 в сопо</w:t>
            </w:r>
          </w:p>
          <w:p w:rsidR="00144447" w:rsidRPr="009E47BD" w:rsidRDefault="009E47BD" w:rsidP="0084056D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E431E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83,9</w:t>
            </w:r>
            <w:r w:rsidR="00E431EF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E431E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115,</w:t>
            </w:r>
            <w:r w:rsidR="00E431EF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431E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431E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E431E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</w:t>
            </w:r>
            <w:r w:rsidR="00E431EF"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431E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431E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431E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102,00</w:t>
            </w:r>
          </w:p>
        </w:tc>
      </w:tr>
      <w:tr w:rsidR="009E47BD" w:rsidRPr="009E47BD" w:rsidTr="00B31486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Инвестиции в основной капитал по источникам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41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295,12</w:t>
            </w:r>
          </w:p>
        </w:tc>
      </w:tr>
      <w:tr w:rsidR="009E47BD" w:rsidRPr="009E47BD" w:rsidTr="00860B2D">
        <w:trPr>
          <w:trHeight w:val="37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Привлеченные средства,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369,18</w:t>
            </w:r>
          </w:p>
        </w:tc>
      </w:tr>
      <w:tr w:rsidR="009E47BD" w:rsidRPr="009E47BD" w:rsidTr="00860B2D">
        <w:trPr>
          <w:trHeight w:val="32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кредиты банков,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230,00</w:t>
            </w:r>
          </w:p>
        </w:tc>
      </w:tr>
      <w:tr w:rsidR="009E47BD" w:rsidRPr="009E47BD" w:rsidTr="00860B2D">
        <w:trPr>
          <w:trHeight w:val="4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кредиты иностранных банков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3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Заемные средства других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Бюджетные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118,88</w:t>
            </w:r>
          </w:p>
        </w:tc>
      </w:tr>
      <w:tr w:rsidR="009E47BD" w:rsidRPr="009E47BD" w:rsidTr="00860B2D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7,3</w:t>
            </w:r>
          </w:p>
        </w:tc>
      </w:tr>
      <w:tr w:rsidR="009E47BD" w:rsidRPr="009E47BD" w:rsidTr="00860B2D">
        <w:trPr>
          <w:trHeight w:val="36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86,8</w:t>
            </w:r>
          </w:p>
        </w:tc>
      </w:tr>
      <w:tr w:rsidR="009E47BD" w:rsidRPr="009E47BD" w:rsidTr="00860B2D">
        <w:trPr>
          <w:trHeight w:val="1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24,78</w:t>
            </w:r>
          </w:p>
        </w:tc>
      </w:tr>
      <w:tr w:rsidR="009E47BD" w:rsidRPr="009E47BD" w:rsidTr="00860B2D">
        <w:trPr>
          <w:trHeight w:val="1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20,30</w:t>
            </w:r>
          </w:p>
        </w:tc>
      </w:tr>
      <w:tr w:rsidR="002D560E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60E" w:rsidRPr="009E47BD" w:rsidRDefault="002D560E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Консолидированный бюджет Благодарненского </w:t>
            </w: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0E" w:rsidRPr="009E47BD" w:rsidRDefault="002D560E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2D560E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2D560E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lastRenderedPageBreak/>
              <w:t>Доходы консолидированного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2D560E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1806,46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2092,39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2111,92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2139,74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2167,98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2423,06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2447,29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2073,83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2085,44</w:t>
            </w:r>
          </w:p>
        </w:tc>
      </w:tr>
      <w:tr w:rsidR="009E47BD" w:rsidRPr="009E47BD" w:rsidTr="00CB5A65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2D560E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iCs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2D560E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B5A6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372,30</w:t>
            </w:r>
          </w:p>
        </w:tc>
      </w:tr>
      <w:tr w:rsidR="009E47BD" w:rsidRPr="009E47BD" w:rsidTr="00CB5A65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2D560E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Налоговые доходы,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A2293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273,</w:t>
            </w:r>
            <w:r w:rsidR="00A2293B">
              <w:rPr>
                <w:rFonts w:ascii="Times New Roman" w:eastAsiaTheme="minorHAnsi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A3195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302,05</w:t>
            </w:r>
          </w:p>
        </w:tc>
      </w:tr>
      <w:tr w:rsidR="009E47BD" w:rsidRPr="009E47BD" w:rsidTr="00CB5A65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2D560E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A2293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149,</w:t>
            </w:r>
            <w:r w:rsidR="00A2293B">
              <w:rPr>
                <w:rFonts w:ascii="Times New Roman" w:eastAsiaTheme="minorHAnsi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158,50</w:t>
            </w:r>
          </w:p>
        </w:tc>
      </w:tr>
      <w:tr w:rsidR="009E47BD" w:rsidRPr="009E47BD" w:rsidTr="00860B2D">
        <w:trPr>
          <w:trHeight w:val="12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22,52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10,80</w:t>
            </w:r>
          </w:p>
        </w:tc>
      </w:tr>
      <w:tr w:rsidR="009E47BD" w:rsidRPr="009E47BD" w:rsidTr="00860B2D">
        <w:trPr>
          <w:trHeight w:val="3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9D" w:rsidRPr="009E47BD" w:rsidRDefault="009E47BD" w:rsidP="006618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A2293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7,5</w:t>
            </w:r>
            <w:r w:rsidR="00A2293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16,73</w:t>
            </w:r>
          </w:p>
        </w:tc>
      </w:tr>
      <w:tr w:rsidR="009E47BD" w:rsidRPr="009E47BD" w:rsidTr="00860B2D">
        <w:trPr>
          <w:trHeight w:val="2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66,63</w:t>
            </w:r>
          </w:p>
        </w:tc>
      </w:tr>
      <w:tr w:rsidR="009E47BD" w:rsidRPr="009E47BD" w:rsidTr="00640FEB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iCs/>
                <w:sz w:val="28"/>
                <w:szCs w:val="28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</w:t>
            </w:r>
            <w:r w:rsidR="002D560E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70,25</w:t>
            </w:r>
          </w:p>
        </w:tc>
      </w:tr>
      <w:tr w:rsidR="009E47BD" w:rsidRPr="009E47BD" w:rsidTr="00640FEB">
        <w:trPr>
          <w:trHeight w:val="6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iCs/>
                <w:sz w:val="28"/>
                <w:szCs w:val="28"/>
              </w:rPr>
              <w:t>Безвозмездные поступления 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1331,83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1731,74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1799,11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2061,94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1713,14</w:t>
            </w:r>
          </w:p>
        </w:tc>
      </w:tr>
      <w:tr w:rsidR="009E47BD" w:rsidRPr="009E47BD" w:rsidTr="00640FEB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iCs/>
                <w:sz w:val="28"/>
                <w:szCs w:val="28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1799,69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2043,85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2264,81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2167,98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6D5970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2423,06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6D5970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2447,29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6D5970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2073,83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6D5970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2085,44</w:t>
            </w:r>
          </w:p>
        </w:tc>
      </w:tr>
      <w:tr w:rsidR="009E47BD" w:rsidRPr="009E47BD" w:rsidTr="00860B2D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179,0</w:t>
            </w:r>
            <w:r w:rsidR="00A2293B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21355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205,</w:t>
            </w:r>
            <w:r w:rsidR="00213550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206,48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2293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10,24</w:t>
            </w:r>
          </w:p>
        </w:tc>
      </w:tr>
      <w:tr w:rsidR="009E47BD" w:rsidRPr="009E47BD" w:rsidTr="00860B2D">
        <w:trPr>
          <w:trHeight w:val="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37,45</w:t>
            </w:r>
          </w:p>
        </w:tc>
      </w:tr>
      <w:tr w:rsidR="009E47BD" w:rsidRPr="009E47BD" w:rsidTr="00860B2D">
        <w:trPr>
          <w:trHeight w:val="4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B017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48,42</w:t>
            </w:r>
          </w:p>
        </w:tc>
      </w:tr>
      <w:tr w:rsidR="009E47BD" w:rsidRPr="009E47BD" w:rsidTr="00860B2D">
        <w:trPr>
          <w:trHeight w:val="3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516A84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1232,36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1257,01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828,03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874,20</w:t>
            </w:r>
          </w:p>
        </w:tc>
      </w:tr>
      <w:tr w:rsidR="009E47BD" w:rsidRPr="009E47BD" w:rsidTr="00516A84">
        <w:trPr>
          <w:trHeight w:val="2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21355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142,</w:t>
            </w:r>
            <w:r w:rsidR="00213550"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86,57</w:t>
            </w:r>
          </w:p>
        </w:tc>
      </w:tr>
      <w:tr w:rsidR="009E47BD" w:rsidRPr="009E47BD" w:rsidTr="00516A84">
        <w:trPr>
          <w:trHeight w:val="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799,92</w:t>
            </w:r>
          </w:p>
        </w:tc>
      </w:tr>
      <w:tr w:rsidR="009E47BD" w:rsidRPr="009E47BD" w:rsidTr="00860B2D">
        <w:trPr>
          <w:trHeight w:val="12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22,16</w:t>
            </w:r>
          </w:p>
        </w:tc>
      </w:tr>
      <w:tr w:rsidR="009E47BD" w:rsidRPr="009E47BD" w:rsidTr="00860B2D">
        <w:trPr>
          <w:trHeight w:val="1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47978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Дефицит(-)</w:t>
            </w:r>
            <w:r w:rsidR="00461CF8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,</w:t>
            </w:r>
            <w:r w:rsidR="00947978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</w:t>
            </w: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профицит(+) консолидированного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213550">
              <w:rPr>
                <w:rFonts w:ascii="Times New Roman" w:eastAsiaTheme="minorHAnsi" w:hAnsi="Times New Roman"/>
                <w:sz w:val="28"/>
                <w:szCs w:val="28"/>
              </w:rPr>
              <w:t>159,46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16A8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-12,27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2D" w:rsidRPr="009E47BD" w:rsidRDefault="009E47BD" w:rsidP="006F18E3">
            <w:pPr>
              <w:spacing w:after="0" w:line="240" w:lineRule="auto"/>
              <w:ind w:left="-142" w:right="-108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Государственный долг муниципального </w:t>
            </w:r>
            <w:r w:rsidR="006F18E3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Труд и занятость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CC069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Численность рабочей силы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45D6E" w:rsidP="00D22F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</w:t>
            </w:r>
            <w:r w:rsidR="00D22FDD">
              <w:rPr>
                <w:rFonts w:ascii="Times New Roman" w:eastAsiaTheme="minorHAnsi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45D6E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45D6E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EC653D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D" w:rsidRPr="009E47BD" w:rsidRDefault="00EC653D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EC653D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D" w:rsidRPr="009E47BD" w:rsidRDefault="00EC653D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EC653D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EC653D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22,68</w:t>
            </w:r>
          </w:p>
        </w:tc>
      </w:tr>
      <w:tr w:rsidR="00EC653D" w:rsidRPr="009E47BD" w:rsidTr="00EC653D">
        <w:trPr>
          <w:trHeight w:val="1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43095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Численность трудовых ресурсов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3D" w:rsidRDefault="00EC653D" w:rsidP="00EC653D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C653D" w:rsidRPr="009E47BD" w:rsidRDefault="00EC653D" w:rsidP="00EC653D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28,34</w:t>
            </w:r>
          </w:p>
        </w:tc>
      </w:tr>
      <w:tr w:rsidR="00EC653D" w:rsidRPr="009E47BD" w:rsidTr="00860B2D">
        <w:trPr>
          <w:trHeight w:val="1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43095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21,78</w:t>
            </w:r>
          </w:p>
        </w:tc>
      </w:tr>
      <w:tr w:rsidR="00EC653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7,9</w:t>
            </w:r>
          </w:p>
        </w:tc>
      </w:tr>
      <w:tr w:rsidR="00EC653D" w:rsidRPr="009E47BD" w:rsidTr="00EC653D">
        <w:trPr>
          <w:cantSplit/>
          <w:trHeight w:val="11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реднемесячная заработная плата работников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EC653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632B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31972,3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632B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632B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34050,5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D65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D65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37649,6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38439,8</w:t>
            </w:r>
          </w:p>
        </w:tc>
      </w:tr>
      <w:tr w:rsidR="00EC653D" w:rsidRPr="009E47BD" w:rsidTr="00EC653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CA10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Темп роста среднемесячной заработной платы работников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B4ED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B4ED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632B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106,3</w:t>
            </w:r>
          </w:p>
        </w:tc>
      </w:tr>
      <w:tr w:rsidR="00EC653D" w:rsidRPr="009E47BD" w:rsidTr="00EC653D">
        <w:trPr>
          <w:trHeight w:val="7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Уровень зарегистрированной безработицы (на конец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3A02C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</w:tr>
      <w:tr w:rsidR="00EC653D" w:rsidRPr="009E47BD" w:rsidTr="00860B2D">
        <w:trPr>
          <w:trHeight w:val="7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Общая численность безработных (по методологии МОТ)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тыс.чел.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1,45</w:t>
            </w:r>
          </w:p>
        </w:tc>
      </w:tr>
      <w:tr w:rsidR="00EC653D" w:rsidRPr="009E47BD" w:rsidTr="00860B2D">
        <w:trPr>
          <w:trHeight w:val="13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3D" w:rsidRPr="009E47BD" w:rsidRDefault="00EC653D" w:rsidP="00860B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3A02C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0,63</w:t>
            </w:r>
          </w:p>
        </w:tc>
      </w:tr>
      <w:tr w:rsidR="00EC653D" w:rsidRPr="009E47BD" w:rsidTr="00860B2D">
        <w:trPr>
          <w:trHeight w:val="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Фонд заработной платы работников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2459,85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2760,66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2931,22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3187,13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3303,22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3402,09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3644,10</w:t>
            </w:r>
          </w:p>
        </w:tc>
      </w:tr>
      <w:tr w:rsidR="00EC653D" w:rsidRPr="009E47BD" w:rsidTr="00860B2D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Темп роста фонда заработной платы работников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107,11</w:t>
            </w:r>
          </w:p>
        </w:tc>
      </w:tr>
      <w:tr w:rsidR="00EC653D" w:rsidRPr="009E47BD" w:rsidTr="00860B2D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Финансы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C653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Темп роста прибыли при</w:t>
            </w:r>
          </w:p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быльных организаций для целей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DF3C8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105,5</w:t>
            </w:r>
          </w:p>
        </w:tc>
      </w:tr>
      <w:tr w:rsidR="00EC653D" w:rsidRPr="009E47BD" w:rsidTr="00860B2D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C653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детей в дошкольных образователь</w:t>
            </w:r>
          </w:p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DF3C8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DF3C8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301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302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303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EC653D" w:rsidRPr="009E47BD" w:rsidTr="00860B2D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Обеспеченность: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C653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больничными койками 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53,5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EC653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общедоступными  библиотеками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учрежд. на 100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29,4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29,5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29,6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29,7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76</w:t>
            </w:r>
          </w:p>
        </w:tc>
      </w:tr>
      <w:tr w:rsidR="00EC653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учреждениями культурно-досугового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учрежд. на 100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</w:tr>
      <w:tr w:rsidR="00EC653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3D" w:rsidRPr="009E47BD" w:rsidRDefault="00EC653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дошкольными образовательными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D" w:rsidRPr="009E47BD" w:rsidRDefault="00EC653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мест на 1000 детей в возрасте 1-6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DF3C8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DF3C8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53D" w:rsidRPr="009E47BD" w:rsidRDefault="00DF3C8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D" w:rsidRPr="009E47BD" w:rsidRDefault="00EC653D" w:rsidP="00DF3C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DF3C8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</w:tbl>
    <w:p w:rsidR="009E47BD" w:rsidRDefault="006F18E3" w:rsidP="006F18E3">
      <w:pPr>
        <w:tabs>
          <w:tab w:val="left" w:pos="201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9E47BD" w:rsidSect="00E74CCF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356F12" w:rsidRDefault="00356F12" w:rsidP="00356F12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6F12" w:rsidRDefault="00356F12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Приложение</w:t>
      </w:r>
    </w:p>
    <w:p w:rsidR="00356F12" w:rsidRDefault="00356F12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651F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к прогнозу социально-</w:t>
      </w:r>
    </w:p>
    <w:p w:rsidR="00356F12" w:rsidRDefault="00356F12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51F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экономического развития</w:t>
      </w:r>
    </w:p>
    <w:p w:rsidR="00356F12" w:rsidRDefault="00356F12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Благодарненского городского округа</w:t>
      </w:r>
    </w:p>
    <w:p w:rsidR="00356F12" w:rsidRDefault="00356F12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Ставропольского края на 2022</w:t>
      </w:r>
    </w:p>
    <w:p w:rsidR="00356F12" w:rsidRDefault="00651F0D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56F12">
        <w:rPr>
          <w:rFonts w:ascii="Times New Roman" w:hAnsi="Times New Roman"/>
          <w:sz w:val="28"/>
          <w:szCs w:val="28"/>
        </w:rPr>
        <w:t>и на период до 2024 года</w:t>
      </w:r>
    </w:p>
    <w:p w:rsidR="00651F0D" w:rsidRDefault="00651F0D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7C8E" w:rsidRDefault="00CE7C8E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6400" w:rsidRPr="00736400" w:rsidRDefault="00736400" w:rsidP="007364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ПОЯСНИТЕЛЬНАЯ ЗАПИСКА</w:t>
      </w:r>
    </w:p>
    <w:p w:rsidR="00736400" w:rsidRPr="00736400" w:rsidRDefault="00736400" w:rsidP="007364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к прогнозу социально-экономического развития Благодарненского городского округа Ставропольского края на 2022 год и на период  до 2024 года</w:t>
      </w:r>
    </w:p>
    <w:p w:rsidR="00736400" w:rsidRDefault="00736400" w:rsidP="00736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7C8E" w:rsidRPr="00736400" w:rsidRDefault="00CE7C8E" w:rsidP="00736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6400" w:rsidRPr="00736400" w:rsidRDefault="00736400" w:rsidP="00736400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r w:rsidRPr="00736400">
        <w:rPr>
          <w:b w:val="0"/>
        </w:rPr>
        <w:t xml:space="preserve">Прогноз социально-экономического развития Благодарненского городского округа Ставропольского края на 2022 год и на период до 2024 года (далее – Прогноз) разработан на основе анализа сложившейся ситуации в экономике Российской Федерации, Ставропольского края и Благодарненского городского округа Ставропольского края </w:t>
      </w:r>
      <w:r w:rsidR="00CE7C8E">
        <w:rPr>
          <w:b w:val="0"/>
        </w:rPr>
        <w:t xml:space="preserve">и в соответствии с материалами </w:t>
      </w:r>
      <w:r w:rsidRPr="00736400">
        <w:rPr>
          <w:b w:val="0"/>
        </w:rPr>
        <w:t>Министерства экономического развития Российской  Федерации, и прогнозируемыми изменениями цен (тарифов) на товары, услуги хозяйствующих субъектов, осуществляющих регулируемые виды деятельности в инфраструктурном секторе, на 2022 и на плановый период до 2024 года (далее – сценарные условия), основных положений Стратегии социально-экономического развития Ставропольского края до 2035 года, утвержденной Законом Ставропольского края от 27 декабря</w:t>
      </w:r>
      <w:r w:rsidRPr="00736400">
        <w:rPr>
          <w:b w:val="0"/>
          <w:color w:val="000000"/>
        </w:rPr>
        <w:t xml:space="preserve"> 2019 года № 110-кз, Стратегии социально-экономического развития Благодарненского городского округа Ставропольского края на период до 2035 года, утвержденной Советом депутатов Благодарненского городского округа Ставропольского края от 27 декабря 2019 года № 300, с учетом основных направлений бюджетной и </w:t>
      </w:r>
      <w:r w:rsidRPr="00736400">
        <w:rPr>
          <w:b w:val="0"/>
        </w:rPr>
        <w:t>налоговой политики Ставропольского края на 2022 год и плановый период</w:t>
      </w:r>
      <w:r w:rsidRPr="00736400">
        <w:rPr>
          <w:b w:val="0"/>
          <w:color w:val="000000"/>
        </w:rPr>
        <w:t xml:space="preserve"> до 2024 года</w:t>
      </w:r>
      <w:r w:rsidRPr="00736400">
        <w:rPr>
          <w:b w:val="0"/>
        </w:rPr>
        <w:t>.</w:t>
      </w:r>
    </w:p>
    <w:p w:rsidR="00736400" w:rsidRPr="00736400" w:rsidRDefault="00736400" w:rsidP="00736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 xml:space="preserve">Прогноз учитывает итоги социально-экономического развития Благодарненского городского округа Ставропольского края за 2020 год и январь – </w:t>
      </w:r>
      <w:r w:rsidR="00A07E92">
        <w:rPr>
          <w:rFonts w:ascii="Times New Roman" w:hAnsi="Times New Roman" w:cs="Times New Roman"/>
          <w:sz w:val="28"/>
          <w:szCs w:val="28"/>
        </w:rPr>
        <w:t>август</w:t>
      </w:r>
      <w:r w:rsidRPr="00736400">
        <w:rPr>
          <w:rFonts w:ascii="Times New Roman" w:hAnsi="Times New Roman" w:cs="Times New Roman"/>
          <w:sz w:val="28"/>
          <w:szCs w:val="28"/>
        </w:rPr>
        <w:t xml:space="preserve"> 2021 года, а также прогнозные данные органов исполнительной власти Ставропольского края и других субъектов прогнозирования, сформированные с учетом эпидемиологическими факторами, вызванными распространением новой коронавирусной инфекции COVID-2019 (далее – коронавирусная инфекция).</w:t>
      </w:r>
    </w:p>
    <w:p w:rsidR="00736400" w:rsidRPr="00736400" w:rsidRDefault="00736400" w:rsidP="00736400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r w:rsidRPr="00736400">
        <w:rPr>
          <w:b w:val="0"/>
        </w:rPr>
        <w:t xml:space="preserve"> Разработка прогноза осуществлялась исходя из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204), Посланием Президента Российской Федерации Федеральному Собранию Российской Федерации от 15 января  2020 года, </w:t>
      </w:r>
      <w:hyperlink r:id="rId7" w:history="1">
        <w:r w:rsidRPr="00736400">
          <w:rPr>
            <w:b w:val="0"/>
          </w:rPr>
          <w:t>Указом</w:t>
        </w:r>
      </w:hyperlink>
      <w:r w:rsidRPr="00736400">
        <w:rPr>
          <w:b w:val="0"/>
        </w:rPr>
        <w:t xml:space="preserve"> Президента Российской Федерации от 21 июля 2020 года  N 474 «О национальных целях развития Российской Федерации на период до 2030 года»,  ежегодным </w:t>
      </w:r>
      <w:hyperlink r:id="rId8" w:history="1">
        <w:r w:rsidRPr="00736400">
          <w:rPr>
            <w:b w:val="0"/>
          </w:rPr>
          <w:t>Посланием</w:t>
        </w:r>
      </w:hyperlink>
      <w:r w:rsidRPr="00736400">
        <w:rPr>
          <w:b w:val="0"/>
        </w:rPr>
        <w:t xml:space="preserve"> Президента Российской Федерации Федеральному  Собранию Российской Федерации. </w:t>
      </w:r>
    </w:p>
    <w:p w:rsidR="00736400" w:rsidRPr="00736400" w:rsidRDefault="00736400" w:rsidP="00736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>Прогноз разработан в двух вариантах: консервативном и базовом. Различие вариантов прогноза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и муниципальной политики развития, перспективами структурного и бюджетного манёвра.</w:t>
      </w:r>
    </w:p>
    <w:p w:rsidR="00736400" w:rsidRPr="00736400" w:rsidRDefault="00736400" w:rsidP="0073640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 xml:space="preserve">  Консервативный вариант прогноза разрабатывается на основе сценарных условий, характеризующих существенное ухудшение темпов экономического роста Благодарненского городского округа Ставропольского края (далее – городской округ).</w:t>
      </w:r>
    </w:p>
    <w:p w:rsidR="00736400" w:rsidRPr="00736400" w:rsidRDefault="00736400" w:rsidP="00736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>Базовый вариант прогноза предполагает рост темпов производства по основным видам экономической деятельности, более активную инвестиционную политику хозяйствующих субъектов, увеличение покупательского спроса, снижение уровня регистрируемой безработицы, нормализацию демографической ситуации.</w:t>
      </w:r>
    </w:p>
    <w:p w:rsidR="00736400" w:rsidRPr="00736400" w:rsidRDefault="00736400" w:rsidP="00CE7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>В основу бюджета Благодарненского городского округа Ставропольского края традиционно положен базовый вариант развития экономики.</w:t>
      </w:r>
    </w:p>
    <w:p w:rsidR="00736400" w:rsidRPr="00736400" w:rsidRDefault="00736400" w:rsidP="00CE7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>Анализ прогноза показывает умеренные темпы роста в реальном секторе экономики и повышении уровня жизни населения городского округа.</w:t>
      </w:r>
    </w:p>
    <w:p w:rsidR="00736400" w:rsidRPr="00736400" w:rsidRDefault="00736400" w:rsidP="00CE7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По статистическим данным объем отгруженных товаров собственного производства, выполненных работ и услуг собственными силами крупных и средних предприятий всех отраслей экономики  за январь – </w:t>
      </w:r>
      <w:r w:rsidR="005E0566">
        <w:rPr>
          <w:rFonts w:ascii="Times New Roman" w:hAnsi="Times New Roman"/>
          <w:sz w:val="28"/>
          <w:szCs w:val="28"/>
        </w:rPr>
        <w:t>август</w:t>
      </w:r>
      <w:r w:rsidRPr="00736400">
        <w:rPr>
          <w:rFonts w:ascii="Times New Roman" w:hAnsi="Times New Roman"/>
          <w:sz w:val="28"/>
          <w:szCs w:val="28"/>
        </w:rPr>
        <w:t xml:space="preserve"> 2021 года составил </w:t>
      </w:r>
      <w:r w:rsidR="00602AB0">
        <w:rPr>
          <w:rFonts w:ascii="Times New Roman" w:hAnsi="Times New Roman"/>
          <w:sz w:val="28"/>
          <w:szCs w:val="28"/>
        </w:rPr>
        <w:t>10,9</w:t>
      </w:r>
      <w:r w:rsidRPr="00736400">
        <w:rPr>
          <w:rFonts w:ascii="Times New Roman" w:hAnsi="Times New Roman"/>
          <w:sz w:val="28"/>
          <w:szCs w:val="28"/>
        </w:rPr>
        <w:t xml:space="preserve"> млрд. рублей, при темпе роста </w:t>
      </w:r>
      <w:r w:rsidR="005E0566">
        <w:rPr>
          <w:rFonts w:ascii="Times New Roman" w:hAnsi="Times New Roman"/>
          <w:sz w:val="28"/>
          <w:szCs w:val="28"/>
        </w:rPr>
        <w:t>98,2</w:t>
      </w:r>
      <w:r w:rsidRPr="00736400">
        <w:rPr>
          <w:rFonts w:ascii="Times New Roman" w:hAnsi="Times New Roman"/>
          <w:sz w:val="28"/>
          <w:szCs w:val="28"/>
        </w:rPr>
        <w:t xml:space="preserve"> процента к показателю аналогичного периода 2020 года.</w:t>
      </w:r>
    </w:p>
    <w:p w:rsidR="00736400" w:rsidRPr="00736400" w:rsidRDefault="00736400" w:rsidP="007364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6400">
        <w:rPr>
          <w:rFonts w:ascii="Times New Roman" w:hAnsi="Times New Roman"/>
          <w:bCs/>
          <w:sz w:val="28"/>
          <w:szCs w:val="28"/>
        </w:rPr>
        <w:t xml:space="preserve">Ведущее место в экономике городского округа занимает агропромышленный комплекс, на долю которого приходится </w:t>
      </w:r>
      <w:r w:rsidR="00602AB0">
        <w:rPr>
          <w:rFonts w:ascii="Times New Roman" w:hAnsi="Times New Roman"/>
          <w:bCs/>
          <w:sz w:val="28"/>
          <w:szCs w:val="28"/>
        </w:rPr>
        <w:t>91,5</w:t>
      </w:r>
      <w:r w:rsidRPr="00736400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602AB0">
        <w:rPr>
          <w:rFonts w:ascii="Times New Roman" w:hAnsi="Times New Roman"/>
          <w:bCs/>
          <w:sz w:val="28"/>
          <w:szCs w:val="28"/>
        </w:rPr>
        <w:t>ов</w:t>
      </w:r>
      <w:r w:rsidRPr="00736400">
        <w:rPr>
          <w:rFonts w:ascii="Times New Roman" w:hAnsi="Times New Roman"/>
          <w:bCs/>
          <w:sz w:val="28"/>
          <w:szCs w:val="28"/>
        </w:rPr>
        <w:t xml:space="preserve"> оборота крупных и средних предприятий.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Промышленность в реальном секторе экономики городского округа представлена обрабатывающим производством.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За январь – </w:t>
      </w:r>
      <w:r w:rsidR="00602AB0">
        <w:rPr>
          <w:rFonts w:ascii="Times New Roman" w:hAnsi="Times New Roman"/>
          <w:sz w:val="28"/>
          <w:szCs w:val="28"/>
        </w:rPr>
        <w:t>август</w:t>
      </w:r>
      <w:r w:rsidRPr="00736400">
        <w:rPr>
          <w:rFonts w:ascii="Times New Roman" w:hAnsi="Times New Roman"/>
          <w:sz w:val="28"/>
          <w:szCs w:val="28"/>
        </w:rPr>
        <w:t xml:space="preserve"> 2021 года промышленным комплексом городского округа отгружено продукции (товаров, работ, услуг) собственного производства в объеме </w:t>
      </w:r>
      <w:r w:rsidR="00602AB0">
        <w:rPr>
          <w:rFonts w:ascii="Times New Roman" w:hAnsi="Times New Roman"/>
          <w:sz w:val="28"/>
          <w:szCs w:val="28"/>
        </w:rPr>
        <w:t>9,9</w:t>
      </w:r>
      <w:r w:rsidRPr="00736400">
        <w:rPr>
          <w:rFonts w:ascii="Times New Roman" w:hAnsi="Times New Roman"/>
          <w:sz w:val="28"/>
          <w:szCs w:val="28"/>
        </w:rPr>
        <w:t xml:space="preserve"> млрд. рублей, темп роста к аналогичному периоду 2020 года составил </w:t>
      </w:r>
      <w:r w:rsidR="00602AB0">
        <w:rPr>
          <w:rFonts w:ascii="Times New Roman" w:hAnsi="Times New Roman"/>
          <w:sz w:val="28"/>
          <w:szCs w:val="28"/>
        </w:rPr>
        <w:t>98,2</w:t>
      </w:r>
      <w:r w:rsidRPr="00736400">
        <w:rPr>
          <w:rFonts w:ascii="Times New Roman" w:hAnsi="Times New Roman"/>
          <w:sz w:val="28"/>
          <w:szCs w:val="28"/>
        </w:rPr>
        <w:t xml:space="preserve"> процент</w:t>
      </w:r>
      <w:r w:rsidR="00602AB0">
        <w:rPr>
          <w:rFonts w:ascii="Times New Roman" w:hAnsi="Times New Roman"/>
          <w:sz w:val="28"/>
          <w:szCs w:val="28"/>
        </w:rPr>
        <w:t>а</w:t>
      </w:r>
      <w:r w:rsidRPr="00736400">
        <w:rPr>
          <w:rFonts w:ascii="Times New Roman" w:hAnsi="Times New Roman"/>
          <w:sz w:val="28"/>
          <w:szCs w:val="28"/>
        </w:rPr>
        <w:t xml:space="preserve">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крупным и средним организациям по виду экономической деятельности «Обрабатывающие производства», за январь – </w:t>
      </w:r>
      <w:r w:rsidR="00B826E9">
        <w:rPr>
          <w:rFonts w:ascii="Times New Roman" w:hAnsi="Times New Roman"/>
          <w:sz w:val="28"/>
          <w:szCs w:val="28"/>
        </w:rPr>
        <w:t>август</w:t>
      </w:r>
      <w:r w:rsidRPr="00736400">
        <w:rPr>
          <w:rFonts w:ascii="Times New Roman" w:hAnsi="Times New Roman"/>
          <w:sz w:val="28"/>
          <w:szCs w:val="28"/>
        </w:rPr>
        <w:t xml:space="preserve"> 2021 года  составил </w:t>
      </w:r>
      <w:r w:rsidR="00B826E9">
        <w:rPr>
          <w:rFonts w:ascii="Times New Roman" w:hAnsi="Times New Roman"/>
          <w:sz w:val="28"/>
          <w:szCs w:val="28"/>
        </w:rPr>
        <w:t>9,7</w:t>
      </w:r>
      <w:r w:rsidRPr="00736400">
        <w:rPr>
          <w:rFonts w:ascii="Times New Roman" w:hAnsi="Times New Roman"/>
          <w:sz w:val="28"/>
          <w:szCs w:val="28"/>
        </w:rPr>
        <w:t xml:space="preserve"> млрд. рублей, темп роста </w:t>
      </w:r>
      <w:r w:rsidR="00B826E9">
        <w:rPr>
          <w:rFonts w:ascii="Times New Roman" w:hAnsi="Times New Roman"/>
          <w:sz w:val="28"/>
          <w:szCs w:val="28"/>
        </w:rPr>
        <w:t xml:space="preserve">98,2 </w:t>
      </w:r>
      <w:r w:rsidRPr="00736400">
        <w:rPr>
          <w:rFonts w:ascii="Times New Roman" w:hAnsi="Times New Roman"/>
          <w:sz w:val="28"/>
          <w:szCs w:val="28"/>
        </w:rPr>
        <w:t>процент</w:t>
      </w:r>
      <w:r w:rsidR="00B826E9">
        <w:rPr>
          <w:rFonts w:ascii="Times New Roman" w:hAnsi="Times New Roman"/>
          <w:sz w:val="28"/>
          <w:szCs w:val="28"/>
        </w:rPr>
        <w:t>а</w:t>
      </w:r>
      <w:r w:rsidRPr="00736400">
        <w:rPr>
          <w:rFonts w:ascii="Times New Roman" w:hAnsi="Times New Roman"/>
          <w:sz w:val="28"/>
          <w:szCs w:val="28"/>
        </w:rPr>
        <w:t xml:space="preserve">. </w:t>
      </w:r>
    </w:p>
    <w:p w:rsidR="00736400" w:rsidRPr="00736400" w:rsidRDefault="00736400" w:rsidP="00736400">
      <w:pPr>
        <w:tabs>
          <w:tab w:val="left" w:pos="96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Основной вклад в прирост объемов «Обрабатывающие производства» внес филиал «Мясоптицекомбинат «Благодарненский» общества с ограниченной ответственностью  «Ставропольский бройлер». </w:t>
      </w:r>
    </w:p>
    <w:p w:rsidR="00736400" w:rsidRPr="00736400" w:rsidRDefault="00736400" w:rsidP="007364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В 2021 году валовой сбор зерновых и зернобобовых культур составил 296 тыс. тонн  при урожайности 28,6 центнеров с гектара.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lastRenderedPageBreak/>
        <w:t xml:space="preserve">За 8 месяцев 2021 года в хозяйствах всех категорий Благодарненского городского округа Ставропольского края  численность поголовья крупного рогатого скота составило 7717 голов, что составило 73,6 процентов по сравнению с аналогичным периодом 2020 года и, в том числе поголовье коров – 4433 головы (84,6 процентов в сравнении с аналогичным периодом 2020 года). Численность свиней в хозяйствах всех категорий составило 3693 головы, что составило 93,1 процент по сравнению с аналогичным периодом 2020 года. Поголовье овец в хозяйствах всех категорий составило 18240 голов, что составило 77,2 процента по сравнению с аналогичным периодом 2020 года. Численность птицы в хозяйствах всех категорий составила 4,3 млн. голов, это 73,6 процентов по сравнению с аналогичным периодом 2020 года.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Объем производства молока за 8 месяцев 2021 года составил 8,18 тыс. тонн, 73,0 процента к аналогичному периоду прошлого года.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Производство мяса в живом весе за 8 месяцев 2021 года составило 64,6   тыс. тонн, это 97 процентов к аналогичному периоду прошлого года, в том числе мяса крупного рогатого скота – 1,03 тыс. тонн, 74 процента к аналогичному периоду прошлого года, мяса свиней – 0,47 тыс. тонн, 72 процента к аналогичному периоду прошлого года, мяса овец – 0,3 тыс. тонн, 67 процентов к аналогичному периоду прошлого года, мяса птицы – 62,8 тыс. тонн, 98 процентов к аналогичному периоду прошлого года. </w:t>
      </w:r>
    </w:p>
    <w:p w:rsidR="00736400" w:rsidRPr="00736400" w:rsidRDefault="00736400" w:rsidP="00736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За 8 месяцев 2021 года производство яиц в хозяйствах всех категорий составило 65,2 млн. штук, что составило 103,0 процента к аналогичному периоду прошлого года. В том числе ООО «Птицекомплекс Альянс» произвел 55,9 млн. штук яиц, 104 процента к аналогичному периоду прошлого года.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Прогнозируется сохранение устойчивой динамики роста производства продукции сельского хозяйства в плановом периоде 2022 - 2024 годов. Общий объем продукции сельского хозяйства в хозяйствах всех категорий Благодарненского района Ставропольского края по итогам 2021 года оценивается в сумме 9,5 млрд. рублей, с учетом роста в 2024 году по базовому варианту прогноза до 11,1 млрд. рублей.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Прогнозируется сохранение устойчивой динамики роста производства продукции сельского хозяйства в плановом периоде 2022 - 2024 годов. Общий объем продукции сельского хозяйства в хозяйствах всех категорий Благодарненского района Ставропольского края по итогам 2021 года оценивается в сумме 10,9 млрд. рублей, с учетом роста в 2024 году по базовому варианту прогноза до 12,8 млрд. рублей. </w:t>
      </w:r>
    </w:p>
    <w:p w:rsidR="00736400" w:rsidRPr="00736400" w:rsidRDefault="00736400" w:rsidP="00736400">
      <w:pPr>
        <w:spacing w:after="0" w:line="240" w:lineRule="auto"/>
        <w:ind w:right="11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6400">
        <w:rPr>
          <w:rFonts w:ascii="Times New Roman" w:eastAsia="Times New Roman" w:hAnsi="Times New Roman"/>
          <w:sz w:val="28"/>
          <w:szCs w:val="28"/>
        </w:rPr>
        <w:t>Важным направлением в деятельности администрации городского округа является жилищное строительство и содействие жителям в улучшении их жилищных условий.</w:t>
      </w:r>
    </w:p>
    <w:p w:rsidR="00736400" w:rsidRPr="00736400" w:rsidRDefault="00736400" w:rsidP="007364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Строительство жилья в городском округе ведется индивидуальным сектором за счет собственных и привлеченных средств.  </w:t>
      </w:r>
    </w:p>
    <w:p w:rsidR="00736400" w:rsidRPr="00736400" w:rsidRDefault="00736400" w:rsidP="00736400">
      <w:pPr>
        <w:tabs>
          <w:tab w:val="left" w:pos="709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  За январь – </w:t>
      </w:r>
      <w:r w:rsidR="008953EF">
        <w:rPr>
          <w:rFonts w:ascii="Times New Roman" w:hAnsi="Times New Roman"/>
          <w:sz w:val="28"/>
          <w:szCs w:val="28"/>
        </w:rPr>
        <w:t>август</w:t>
      </w:r>
      <w:r w:rsidRPr="00736400">
        <w:rPr>
          <w:rFonts w:ascii="Times New Roman" w:hAnsi="Times New Roman"/>
          <w:sz w:val="28"/>
          <w:szCs w:val="28"/>
        </w:rPr>
        <w:t xml:space="preserve"> 2021 года введено  в эксплуатацию</w:t>
      </w:r>
      <w:r w:rsidRPr="007364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53EF">
        <w:rPr>
          <w:rFonts w:ascii="Times New Roman" w:hAnsi="Times New Roman"/>
          <w:sz w:val="28"/>
          <w:szCs w:val="28"/>
        </w:rPr>
        <w:t>3802</w:t>
      </w:r>
      <w:r w:rsidRPr="00736400">
        <w:rPr>
          <w:rFonts w:ascii="Times New Roman" w:hAnsi="Times New Roman"/>
          <w:sz w:val="28"/>
          <w:szCs w:val="28"/>
        </w:rPr>
        <w:t xml:space="preserve">  кв.м. жилья,  что превышает аналогичный период прошлого года в </w:t>
      </w:r>
      <w:r w:rsidR="008953EF">
        <w:rPr>
          <w:rFonts w:ascii="Times New Roman" w:hAnsi="Times New Roman"/>
          <w:sz w:val="28"/>
          <w:szCs w:val="28"/>
        </w:rPr>
        <w:t>1,7</w:t>
      </w:r>
      <w:r w:rsidRPr="00736400">
        <w:rPr>
          <w:rFonts w:ascii="Times New Roman" w:hAnsi="Times New Roman"/>
          <w:sz w:val="28"/>
          <w:szCs w:val="28"/>
        </w:rPr>
        <w:t xml:space="preserve"> раза. Ввиду </w:t>
      </w:r>
      <w:r w:rsidRPr="00736400">
        <w:rPr>
          <w:rFonts w:ascii="Times New Roman" w:hAnsi="Times New Roman"/>
          <w:sz w:val="28"/>
          <w:szCs w:val="28"/>
        </w:rPr>
        <w:lastRenderedPageBreak/>
        <w:t xml:space="preserve">того, что все жилищное строительство в округе ведется индивидуальным способом, по прогнозной оценке 2021 года ввод жилья составит 7,5 тыс. кв. м., темп роста 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к 2020 году – </w:t>
      </w:r>
      <w:r w:rsidRPr="00736400">
        <w:rPr>
          <w:rFonts w:ascii="Times New Roman" w:hAnsi="Times New Roman"/>
          <w:sz w:val="28"/>
          <w:szCs w:val="28"/>
        </w:rPr>
        <w:t>104,2 процента.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На основании выданных ранее разрешений на строительство к 2024 году планируется ввод в действие жилых домов площадью 8,2 тыс. кв. м., превысив уровень 2020 года на 9,3 процента.</w:t>
      </w:r>
    </w:p>
    <w:p w:rsidR="00736400" w:rsidRPr="00736400" w:rsidRDefault="00736400" w:rsidP="00736400">
      <w:pPr>
        <w:pStyle w:val="ae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 xml:space="preserve">Потребительский рынок является жизненно - важной составляющей экономики городского округа. В целом, его можно охарактеризовать как стабильный, с высокими темпами развития материально-технической базы и уровнем насыщенности товарами, разнообразием услуг. </w:t>
      </w:r>
    </w:p>
    <w:p w:rsidR="00736400" w:rsidRPr="00736400" w:rsidRDefault="00736400" w:rsidP="00736400">
      <w:pPr>
        <w:tabs>
          <w:tab w:val="left" w:pos="709"/>
          <w:tab w:val="left" w:pos="9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          На потребительском рынке городского округа отмечается устойчивый спрос на товары и услуги. За январь – июнь 2021 года оборот розничной торговли по крупным и средним предприятиям всех видов экономической деятельности  составил 678 млн. рублей или 118,1 процент к аналогичному периоду прошлого года. Оценочно за 2021 год оборот составит 1257,2 млн. рублей (темп роста  104,6 процентов).</w:t>
      </w:r>
    </w:p>
    <w:p w:rsidR="00736400" w:rsidRPr="00736400" w:rsidRDefault="00736400" w:rsidP="00736400">
      <w:pPr>
        <w:tabs>
          <w:tab w:val="left" w:pos="709"/>
          <w:tab w:val="left" w:pos="96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Сфера услуг является важной, перспективной и быстроразвивающейся отраслью экономики. Основной задачей при оказании платных услуг является удовлетворение потребностей населения и выполнение заказов клиентов квалифицированными специалистами по доступным для потребителя ценам.</w:t>
      </w:r>
    </w:p>
    <w:p w:rsidR="00736400" w:rsidRPr="00736400" w:rsidRDefault="00736400" w:rsidP="0073640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  Объем платных услуг населению за январь-</w:t>
      </w:r>
      <w:r w:rsidR="008953EF">
        <w:rPr>
          <w:rFonts w:ascii="Times New Roman" w:hAnsi="Times New Roman"/>
          <w:sz w:val="28"/>
          <w:szCs w:val="28"/>
        </w:rPr>
        <w:t>август</w:t>
      </w:r>
      <w:r w:rsidRPr="00736400">
        <w:rPr>
          <w:rFonts w:ascii="Times New Roman" w:hAnsi="Times New Roman"/>
          <w:sz w:val="28"/>
          <w:szCs w:val="28"/>
        </w:rPr>
        <w:t xml:space="preserve"> 2021 года составил </w:t>
      </w:r>
      <w:r w:rsidR="008953EF">
        <w:rPr>
          <w:rFonts w:ascii="Times New Roman" w:hAnsi="Times New Roman"/>
          <w:sz w:val="28"/>
          <w:szCs w:val="28"/>
        </w:rPr>
        <w:t>1106,3</w:t>
      </w:r>
      <w:r w:rsidRPr="00736400">
        <w:rPr>
          <w:rFonts w:ascii="Times New Roman" w:hAnsi="Times New Roman"/>
          <w:sz w:val="28"/>
          <w:szCs w:val="28"/>
        </w:rPr>
        <w:t xml:space="preserve"> млн. рублей, темп роста составил </w:t>
      </w:r>
      <w:r w:rsidR="008953EF">
        <w:rPr>
          <w:rFonts w:ascii="Times New Roman" w:hAnsi="Times New Roman"/>
          <w:sz w:val="28"/>
          <w:szCs w:val="28"/>
        </w:rPr>
        <w:t>97,6</w:t>
      </w:r>
      <w:r w:rsidRPr="00736400">
        <w:rPr>
          <w:rFonts w:ascii="Times New Roman" w:hAnsi="Times New Roman"/>
          <w:sz w:val="28"/>
          <w:szCs w:val="28"/>
        </w:rPr>
        <w:t xml:space="preserve"> процентов к аналогичному периоду 2020 года. По прогнозной оценке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2021 года данный показатель составит 1765,7 млн. рубля, темп роста к 2020 году в действующих ценах 103,0 процента.</w:t>
      </w:r>
    </w:p>
    <w:p w:rsidR="00736400" w:rsidRPr="00736400" w:rsidRDefault="00736400" w:rsidP="007364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В прогнозируемом периоде к концу 2024 года по сравнению с 2020 годом планируется увеличение объема платных услуг на 16,0 процентов или до 1925,7 млн. рублей. </w:t>
      </w:r>
    </w:p>
    <w:p w:rsidR="00736400" w:rsidRPr="00736400" w:rsidRDefault="00736400" w:rsidP="007364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Прибыль прибыльных организаций по базовому варианту Прогноза к 2024 году по сравнению с 2021 годом планируется к увеличению на 15 процентов. Позитивными факторами изменения данного показателя станут рост объемов реализации продукции, ценовые факторы и операционные расходы прибыльных организаций.</w:t>
      </w:r>
    </w:p>
    <w:p w:rsidR="00736400" w:rsidRPr="00736400" w:rsidRDefault="00736400" w:rsidP="007364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          По состоянию на 01 апреля 2021 года на территории округа осуществляли деятельность 1806 хозяйствующих субъектов, в том числе 1538 субъектов  малого и среднего бизнеса (далее - субъекты МСП), из них 1407 индивидуальных предпринимателей и 131 юридических лица.</w:t>
      </w:r>
    </w:p>
    <w:p w:rsidR="00736400" w:rsidRPr="00736400" w:rsidRDefault="00736400" w:rsidP="00736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С каждым годом растет роль и участие субъектов малого и среднего предпринимательства в экономике городского округа. По данным мониторинга объем инвестиций в основной капитал по всем видам хозяйствующих субъектов малого предпринимательства,</w:t>
      </w:r>
      <w:r w:rsidRPr="007364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6400">
        <w:rPr>
          <w:rFonts w:ascii="Times New Roman" w:hAnsi="Times New Roman"/>
          <w:bCs/>
          <w:sz w:val="28"/>
          <w:szCs w:val="28"/>
        </w:rPr>
        <w:t>не наблюдаемых прямыми статистическими методами,</w:t>
      </w:r>
      <w:r w:rsidRPr="00736400">
        <w:rPr>
          <w:rFonts w:ascii="Times New Roman" w:hAnsi="Times New Roman"/>
          <w:sz w:val="28"/>
          <w:szCs w:val="28"/>
        </w:rPr>
        <w:t xml:space="preserve"> за январь - июнь 2021 года  на развитие экономики и социальной сферы городского округа использовано  1013,9 млн. рублей. </w:t>
      </w:r>
    </w:p>
    <w:p w:rsidR="00736400" w:rsidRPr="00736400" w:rsidRDefault="00736400" w:rsidP="00736400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lastRenderedPageBreak/>
        <w:t>Крупными и средними предприятиями, представляющими статистическую отчетность, за январь - июнь 2021 года  объем инвестиций составил 279,2 млн. рублей,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что превышает аналогичный период 2020 года в 3,8 раз.</w:t>
      </w:r>
      <w:r w:rsidRPr="00736400">
        <w:rPr>
          <w:rFonts w:ascii="Times New Roman" w:hAnsi="Times New Roman"/>
          <w:sz w:val="28"/>
          <w:szCs w:val="28"/>
        </w:rPr>
        <w:t xml:space="preserve"> </w:t>
      </w:r>
    </w:p>
    <w:p w:rsidR="00736400" w:rsidRPr="00736400" w:rsidRDefault="00736400" w:rsidP="0073640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По состоянию на 01 июля 2021 года на территории городского округа реализуются </w:t>
      </w:r>
      <w:r w:rsidR="00177430">
        <w:rPr>
          <w:rFonts w:ascii="Times New Roman" w:hAnsi="Times New Roman"/>
          <w:sz w:val="28"/>
          <w:szCs w:val="28"/>
        </w:rPr>
        <w:t>3</w:t>
      </w:r>
      <w:r w:rsidRPr="00736400">
        <w:rPr>
          <w:rFonts w:ascii="Times New Roman" w:hAnsi="Times New Roman"/>
          <w:sz w:val="28"/>
          <w:szCs w:val="28"/>
        </w:rPr>
        <w:t xml:space="preserve"> инвестиционных проекта, с общим объемом инвестиций 391,8 млн. рублей, по которым будет создано - 143 новых рабочих места: </w:t>
      </w:r>
    </w:p>
    <w:p w:rsidR="00736400" w:rsidRPr="00736400" w:rsidRDefault="00736400" w:rsidP="007364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 xml:space="preserve">«Выращивание и переработка лекарственных и пряных трав», инициатором которого выступает общество с ограниченной ответственностью (далее – ООО) «Моя Мечта». Общая стоимость проекта  120 млн. рублей,  предусмотрено создание 15 новых рабочих мест. Срок реализации проекта 2020-2025 годы. Проект направлен на развитие и расширение существующего производства по выращиванию и переработке лекарственных и пряных трав. </w:t>
      </w:r>
      <w:r w:rsidRPr="00736400">
        <w:rPr>
          <w:rFonts w:ascii="Times New Roman" w:hAnsi="Times New Roman"/>
          <w:sz w:val="28"/>
          <w:szCs w:val="28"/>
        </w:rPr>
        <w:t>По состоянию 01 июля 2021 года освоено 2,905 млн. рублей, создано 1 новое рабочее место, приобретена машина для уборки ботвы, дробилка, зубовые бороны, возведены металлоконструкции с кровлей с асфальтированием ангара. Проект направлен на развитие и расширение существующего производства по выращиванию и переработке лекарственных и пряных трав;</w:t>
      </w:r>
    </w:p>
    <w:p w:rsidR="00736400" w:rsidRPr="00736400" w:rsidRDefault="00736400" w:rsidP="00736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eastAsia="Arial Unicode MS" w:hAnsi="Times New Roman"/>
          <w:sz w:val="28"/>
          <w:szCs w:val="28"/>
        </w:rPr>
        <w:t xml:space="preserve">«Строительство тех производственных корпусов для кур-несушек </w:t>
      </w:r>
      <w:r w:rsidRPr="00736400">
        <w:rPr>
          <w:rFonts w:ascii="Times New Roman" w:hAnsi="Times New Roman"/>
          <w:sz w:val="28"/>
          <w:szCs w:val="28"/>
        </w:rPr>
        <w:t xml:space="preserve">на базе ООО </w:t>
      </w:r>
      <w:r w:rsidRPr="00736400">
        <w:rPr>
          <w:rFonts w:ascii="Times New Roman" w:eastAsia="Arial Unicode MS" w:hAnsi="Times New Roman"/>
          <w:sz w:val="28"/>
          <w:szCs w:val="28"/>
        </w:rPr>
        <w:t xml:space="preserve">«Птицекомплекса Альянс»», </w:t>
      </w: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>инициатор проекта общество с ограниченной ответственностью «Аграрное Строительство и Технологии»</w:t>
      </w:r>
      <w:r w:rsidRPr="00736400">
        <w:rPr>
          <w:rFonts w:ascii="Times New Roman" w:eastAsia="Arial Unicode MS" w:hAnsi="Times New Roman"/>
          <w:sz w:val="28"/>
          <w:szCs w:val="28"/>
        </w:rPr>
        <w:t>.</w:t>
      </w: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стоимость проекта 170,2 млн. рублей, предусмотрено создание 50 новых рабочих мест.</w:t>
      </w:r>
      <w:r w:rsidRPr="0073640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проекта 2020-2022 годы. </w:t>
      </w:r>
      <w:r w:rsidRPr="00736400">
        <w:rPr>
          <w:rFonts w:ascii="Times New Roman" w:hAnsi="Times New Roman"/>
          <w:sz w:val="28"/>
          <w:szCs w:val="28"/>
        </w:rPr>
        <w:t>По состоянию 01 июля 2021 года освоено 31,6 млн. рублей, ведётся строительство корпусов для промышленной несушки;</w:t>
      </w:r>
    </w:p>
    <w:p w:rsidR="00736400" w:rsidRPr="00736400" w:rsidRDefault="00736400" w:rsidP="007364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eastAsia="Arial Unicode MS" w:hAnsi="Times New Roman"/>
          <w:sz w:val="28"/>
          <w:szCs w:val="28"/>
        </w:rPr>
        <w:t>«С</w:t>
      </w:r>
      <w:r w:rsidRPr="00736400">
        <w:rPr>
          <w:rFonts w:ascii="Times New Roman" w:hAnsi="Times New Roman"/>
          <w:sz w:val="28"/>
          <w:szCs w:val="28"/>
        </w:rPr>
        <w:t xml:space="preserve">троительство комплекса придорожного сервиса», инициатор проекта индивидуальный предприниматель Гучмазов А.Г. </w:t>
      </w: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>Общая стоимость 31,6 млн. рублей, предусмотрено создание 28 новых рабочих мест.</w:t>
      </w:r>
      <w:r w:rsidRPr="0073640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проекта 2020-2025 годы. </w:t>
      </w:r>
      <w:r w:rsidRPr="00736400">
        <w:rPr>
          <w:rFonts w:ascii="Times New Roman" w:hAnsi="Times New Roman"/>
          <w:sz w:val="28"/>
          <w:szCs w:val="28"/>
        </w:rPr>
        <w:t xml:space="preserve">По состоянию 01 июля 2021 года </w:t>
      </w:r>
      <w:r w:rsidR="00177430">
        <w:rPr>
          <w:rFonts w:ascii="Times New Roman" w:hAnsi="Times New Roman"/>
          <w:sz w:val="28"/>
          <w:szCs w:val="28"/>
        </w:rPr>
        <w:t xml:space="preserve">готовность объекта составляет </w:t>
      </w:r>
      <w:r w:rsidR="004611AE">
        <w:rPr>
          <w:rFonts w:ascii="Times New Roman" w:hAnsi="Times New Roman"/>
          <w:sz w:val="28"/>
          <w:szCs w:val="28"/>
        </w:rPr>
        <w:t>79 процентов</w:t>
      </w:r>
      <w:r w:rsidRPr="00736400">
        <w:rPr>
          <w:rFonts w:ascii="Times New Roman" w:hAnsi="Times New Roman"/>
          <w:sz w:val="28"/>
          <w:szCs w:val="28"/>
        </w:rPr>
        <w:t>.</w:t>
      </w:r>
    </w:p>
    <w:p w:rsidR="00736400" w:rsidRPr="00736400" w:rsidRDefault="00736400" w:rsidP="007364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Прогнозируется, что объем инвестиций в основной капитал за счет всех источников финансирования в 2021 году составит 3,</w:t>
      </w:r>
      <w:r w:rsidR="004611AE">
        <w:rPr>
          <w:rFonts w:ascii="Times New Roman" w:hAnsi="Times New Roman"/>
          <w:sz w:val="28"/>
          <w:szCs w:val="28"/>
        </w:rPr>
        <w:t>2</w:t>
      </w:r>
      <w:r w:rsidRPr="00736400">
        <w:rPr>
          <w:rFonts w:ascii="Times New Roman" w:hAnsi="Times New Roman"/>
          <w:sz w:val="28"/>
          <w:szCs w:val="28"/>
        </w:rPr>
        <w:t xml:space="preserve"> млрд. рублей, что на </w:t>
      </w:r>
      <w:r w:rsidR="004611AE">
        <w:rPr>
          <w:rFonts w:ascii="Times New Roman" w:hAnsi="Times New Roman"/>
          <w:sz w:val="28"/>
          <w:szCs w:val="28"/>
        </w:rPr>
        <w:t>7,7</w:t>
      </w:r>
      <w:r w:rsidRPr="00736400">
        <w:rPr>
          <w:rFonts w:ascii="Times New Roman" w:hAnsi="Times New Roman"/>
          <w:sz w:val="28"/>
          <w:szCs w:val="28"/>
        </w:rPr>
        <w:t xml:space="preserve"> процентов выше, чем за соответствующий период прошлого года (2,9 млрд. рублей).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Прогнозируемый рост инвестиций на 2022-2024 годы предполагает развитие в условиях импортозамещения, укрепление реального сектора и повышение конкурентоспособности экономики Благодарненского городского округа Ставропольского края, улучшение инвестиционного климата.</w:t>
      </w:r>
    </w:p>
    <w:p w:rsidR="00736400" w:rsidRPr="00736400" w:rsidRDefault="00177430" w:rsidP="00736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Перспективные инвестиционные проекты на 2022 год</w:t>
      </w:r>
      <w:r w:rsidR="00736400" w:rsidRPr="00736400">
        <w:rPr>
          <w:rFonts w:ascii="Times New Roman" w:hAnsi="Times New Roman"/>
          <w:sz w:val="28"/>
          <w:szCs w:val="28"/>
        </w:rPr>
        <w:t>:</w:t>
      </w:r>
    </w:p>
    <w:p w:rsidR="00736400" w:rsidRPr="00736400" w:rsidRDefault="00736400" w:rsidP="00736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400">
        <w:rPr>
          <w:rFonts w:ascii="Times New Roman" w:hAnsi="Times New Roman"/>
          <w:sz w:val="28"/>
          <w:szCs w:val="28"/>
          <w:lang w:eastAsia="ru-RU"/>
        </w:rPr>
        <w:t xml:space="preserve">«Строительство 26 корпусов по выращиванию цыплят - бройлеров в с. Бурлацкое», инициатором которого выступает общество с ограниченной ответственностью «Ставропольский бройлер». Проект предполагает единовременную посадку цыплят - бройлеров 1,5 млн. голов, годовое производство мяса птицы 23 тыс. тонн. Общая стоимость проекта  800, 0 млн. </w:t>
      </w:r>
      <w:r w:rsidRPr="00736400">
        <w:rPr>
          <w:rFonts w:ascii="Times New Roman" w:hAnsi="Times New Roman"/>
          <w:sz w:val="28"/>
          <w:szCs w:val="28"/>
          <w:lang w:eastAsia="ru-RU"/>
        </w:rPr>
        <w:lastRenderedPageBreak/>
        <w:t>рублей, планируется создание 55 новых рабочих мест. Срок реализации проекта 2021-2022 годы. По состоянию на 01 июля 2021 года</w:t>
      </w:r>
      <w:r w:rsidRPr="00736400">
        <w:rPr>
          <w:rFonts w:ascii="Times New Roman" w:hAnsi="Times New Roman"/>
          <w:sz w:val="28"/>
          <w:szCs w:val="28"/>
        </w:rPr>
        <w:t xml:space="preserve"> </w:t>
      </w:r>
      <w:r w:rsidRPr="00736400">
        <w:rPr>
          <w:rFonts w:ascii="Times New Roman" w:hAnsi="Times New Roman"/>
          <w:sz w:val="28"/>
          <w:szCs w:val="28"/>
          <w:lang w:eastAsia="ru-RU"/>
        </w:rPr>
        <w:t>прорабатывается вопрос о подключении к сетям электро-, водо- и газоснабжения;</w:t>
      </w:r>
    </w:p>
    <w:p w:rsidR="00736400" w:rsidRPr="00736400" w:rsidRDefault="00736400" w:rsidP="00736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400">
        <w:rPr>
          <w:rFonts w:ascii="Times New Roman" w:hAnsi="Times New Roman"/>
          <w:sz w:val="28"/>
          <w:szCs w:val="28"/>
          <w:lang w:eastAsia="ru-RU"/>
        </w:rPr>
        <w:t>Строительство орошаемого участка на площади 2100 га на базе общества с ограниченной ответственностью опытно-производственного хозяйства «Луч», проект направлен на повышение урожайности и увеличение сельскохозяйственной продукции. Предполагаемая стоимость проекта 800,0 млн. -1,0 млрд. рублей, планируется создание 15 новых рабочих мест. Срок реализации проекта 2022-2023 годы</w:t>
      </w:r>
      <w:r w:rsidRPr="00736400">
        <w:rPr>
          <w:rFonts w:ascii="Times New Roman" w:hAnsi="Times New Roman"/>
          <w:sz w:val="28"/>
          <w:szCs w:val="28"/>
        </w:rPr>
        <w:t xml:space="preserve">. </w:t>
      </w:r>
      <w:r w:rsidRPr="00736400">
        <w:rPr>
          <w:rFonts w:ascii="Times New Roman" w:hAnsi="Times New Roman"/>
          <w:sz w:val="28"/>
          <w:szCs w:val="28"/>
          <w:lang w:eastAsia="ru-RU"/>
        </w:rPr>
        <w:t>По состоянию на 01 июля 2021 года</w:t>
      </w:r>
      <w:r w:rsidRPr="00736400">
        <w:rPr>
          <w:rFonts w:ascii="Times New Roman" w:hAnsi="Times New Roman"/>
          <w:sz w:val="28"/>
          <w:szCs w:val="28"/>
        </w:rPr>
        <w:t xml:space="preserve"> </w:t>
      </w:r>
      <w:r w:rsidRPr="00736400">
        <w:rPr>
          <w:rFonts w:ascii="Times New Roman" w:hAnsi="Times New Roman"/>
          <w:sz w:val="28"/>
          <w:szCs w:val="28"/>
          <w:lang w:eastAsia="ru-RU"/>
        </w:rPr>
        <w:t>ведется разработка бизнес плана.</w:t>
      </w:r>
    </w:p>
    <w:p w:rsidR="00736400" w:rsidRPr="00736400" w:rsidRDefault="00736400" w:rsidP="00736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работникам городского округа в январе - </w:t>
      </w:r>
      <w:r w:rsidR="00914F71">
        <w:rPr>
          <w:rFonts w:ascii="Times New Roman" w:hAnsi="Times New Roman"/>
          <w:sz w:val="28"/>
          <w:szCs w:val="28"/>
        </w:rPr>
        <w:t>июл</w:t>
      </w:r>
      <w:r w:rsidR="00004EEA">
        <w:rPr>
          <w:rFonts w:ascii="Times New Roman" w:hAnsi="Times New Roman"/>
          <w:sz w:val="28"/>
          <w:szCs w:val="28"/>
        </w:rPr>
        <w:t>е</w:t>
      </w:r>
      <w:r w:rsidRPr="00736400">
        <w:rPr>
          <w:rFonts w:ascii="Times New Roman" w:hAnsi="Times New Roman"/>
          <w:sz w:val="28"/>
          <w:szCs w:val="28"/>
        </w:rPr>
        <w:t xml:space="preserve"> 2021 года, увеличилась в сравнении с аналогичным периодом 2020 года на 9,9 процентов и составила </w:t>
      </w:r>
      <w:r w:rsidR="00914F71">
        <w:rPr>
          <w:rFonts w:ascii="Times New Roman" w:hAnsi="Times New Roman"/>
          <w:sz w:val="28"/>
          <w:szCs w:val="28"/>
        </w:rPr>
        <w:t>32138,2</w:t>
      </w:r>
      <w:r w:rsidRPr="00736400">
        <w:rPr>
          <w:rFonts w:ascii="Times New Roman" w:hAnsi="Times New Roman"/>
          <w:sz w:val="28"/>
          <w:szCs w:val="28"/>
        </w:rPr>
        <w:t xml:space="preserve"> рублей. К 2024 году среднемесячная начисленная заработная плата одного работника в целом по городскому округу увеличится по базовому варианту Прогноза до 35262,2  рубля.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Фонд начисленной заработной платы всех работников по оценке 2021 года  составит 2,9 млрд. рублей, по базовому варианту Прогноза данный показатель к уровню 2024 года планируется к увеличению до 3,3 млрд. рублей.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6400" w:rsidRPr="00736400" w:rsidRDefault="00736400" w:rsidP="00CE7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 xml:space="preserve"> По мере восстановления роста денежных доходов населения уровень бедности будет постепенно снижаться. Этому будут способствовать меры по установлению минимального размера оплаты труда на уровне величины прожиточного минимума трудоспособного населения в сочетании с мерами социальной поддержки низкодоходных категорий населения, такими, как ежемесячные выплаты семьям на первого и третьего ребенка, выплата социальной доплаты к пенсии неработающим пенсионерам и др.</w:t>
      </w:r>
    </w:p>
    <w:p w:rsidR="00D50C3E" w:rsidRPr="00D50C3E" w:rsidRDefault="00D50C3E" w:rsidP="00CE7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C3E">
        <w:rPr>
          <w:rFonts w:ascii="Times New Roman" w:hAnsi="Times New Roman"/>
          <w:sz w:val="28"/>
          <w:szCs w:val="28"/>
        </w:rPr>
        <w:t xml:space="preserve">На 01 октября 2021 года в государственное казённое учреждение «Центр занятости населения Благодарненского района» за содействием в поиске подходящей работы обратился 1305 граждан,  что на 628  человек меньше, чем за 2020 год. Из числа обратившихся,  уволенных в связи с ликвидацией организации и сокращением численности или штата работников организации - 14 человек, прекращением предпринимательской деятельности - 17 человека. Всего из числа обратившихся в службу занятости трудоустроено в 2021 году 876 человек: на постоянную работу  - 461 человек, на временную  работу 418 человека. Уровень трудоустройства ищущих работу составил 67 процентов (2020 год - 44 процента). Из числа обратившихся признаны безработными 479 человек, что на 721 человек меньше, чем за аналогичный период прошлого года. </w:t>
      </w:r>
    </w:p>
    <w:p w:rsidR="00D50C3E" w:rsidRPr="00D50C3E" w:rsidRDefault="00D50C3E" w:rsidP="00CE7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C3E">
        <w:rPr>
          <w:rFonts w:ascii="Times New Roman" w:hAnsi="Times New Roman"/>
          <w:sz w:val="28"/>
          <w:szCs w:val="28"/>
        </w:rPr>
        <w:t xml:space="preserve">Снято с  регистрационного учёта 1121 безработный, из этого числа 308-  в связи с трудоустройством. Уровень зарегистрированной безработицы составил 1,1 процент (в 2020 году 4,07 процентов). </w:t>
      </w:r>
    </w:p>
    <w:p w:rsidR="00D50C3E" w:rsidRPr="00D50C3E" w:rsidRDefault="00D50C3E" w:rsidP="00D50C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0C3E">
        <w:rPr>
          <w:rFonts w:ascii="Times New Roman" w:hAnsi="Times New Roman"/>
          <w:sz w:val="28"/>
          <w:szCs w:val="28"/>
        </w:rPr>
        <w:t xml:space="preserve">В рамках  национального проекта «Демография» в 2021 году приняли участие 85 граждан. Обучено безработных в 2021 году - 22 человека. </w:t>
      </w:r>
    </w:p>
    <w:p w:rsidR="00D50C3E" w:rsidRPr="00D50C3E" w:rsidRDefault="00D50C3E" w:rsidP="00CE7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C3E">
        <w:rPr>
          <w:rFonts w:ascii="Times New Roman" w:hAnsi="Times New Roman"/>
          <w:sz w:val="28"/>
          <w:szCs w:val="28"/>
        </w:rPr>
        <w:lastRenderedPageBreak/>
        <w:t>За отчётный период количество вакансий, заявленных работодателями,  составило 1702 единицы, что на 369 вакансии меньше, чем в 2020 году. Востребованные работодателями профессии: агроном, врач, бухгалтер, воспитатель, подсобный рабочий, водитель автомобиля, медицинская сестра, электромонтёр.</w:t>
      </w:r>
    </w:p>
    <w:p w:rsidR="00736400" w:rsidRPr="00736400" w:rsidRDefault="00736400" w:rsidP="00CE7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Численность постоянного населения на начало 2021 года составила 57536 человек, снижение численности к аналогичному периоду 2020 года составило 88 человек, темп роста 99,8 процентов.  </w:t>
      </w:r>
    </w:p>
    <w:p w:rsidR="00736400" w:rsidRPr="00736400" w:rsidRDefault="00736400" w:rsidP="007364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По предварительным статистическим данным в период с января по июнь</w:t>
      </w:r>
      <w:r w:rsidRPr="00736400">
        <w:rPr>
          <w:rFonts w:ascii="Times New Roman" w:hAnsi="Times New Roman"/>
          <w:bCs/>
          <w:sz w:val="28"/>
          <w:szCs w:val="28"/>
        </w:rPr>
        <w:t xml:space="preserve"> 2021 года в городском округе родилось 314 человек (январь – июнь 2020 года -309 человек), умерло 432 человека (январь - июнь 2020 года 365 человек)</w:t>
      </w:r>
      <w:r w:rsidRPr="00736400">
        <w:rPr>
          <w:rFonts w:ascii="Times New Roman" w:hAnsi="Times New Roman"/>
          <w:sz w:val="28"/>
          <w:szCs w:val="28"/>
        </w:rPr>
        <w:t xml:space="preserve">. В результате, коэффициент смертности в расчете на 1000 человек населения (14,7) на 5,0 промилле превышает коэффициент рождаемости (9,7). В аналогичном периоде 2020 года коэффициент рождаемости составлял 10,8 на 1000 человек населения, коэффициент смертности — 12,7. </w:t>
      </w:r>
    </w:p>
    <w:p w:rsidR="00736400" w:rsidRPr="00736400" w:rsidRDefault="00736400" w:rsidP="007364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6400">
        <w:rPr>
          <w:rFonts w:ascii="Times New Roman" w:hAnsi="Times New Roman"/>
          <w:color w:val="000000"/>
          <w:sz w:val="28"/>
          <w:szCs w:val="28"/>
        </w:rPr>
        <w:t>На территорию городского округа в течение</w:t>
      </w:r>
      <w:r w:rsidR="00CE7C8E">
        <w:rPr>
          <w:rFonts w:ascii="Times New Roman" w:hAnsi="Times New Roman"/>
          <w:color w:val="000000"/>
          <w:sz w:val="28"/>
          <w:szCs w:val="28"/>
        </w:rPr>
        <w:t xml:space="preserve"> января - июня 2021 года прибыл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701 человек, число выбывших увеличилось до 638 человек. В результате миграционный прирост населения составил 63 человека.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За счет естественной убыли и миграционного прироста населения, к 2024 году прогнозируется прирост численности населения до 57,42 тыс. человек (или к 2020 году 99,8 процентов).</w:t>
      </w:r>
    </w:p>
    <w:p w:rsidR="00736400" w:rsidRPr="00736400" w:rsidRDefault="00736400" w:rsidP="007364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трудоспособного возраста городского округа на 1 января 2021 года снизилась к аналогичному периоду прошлого года и составила 30,6 тыс. человек. В связи с увеличением трудоспособного возраста, к 2024 году прогнозируется незначительный </w:t>
      </w:r>
      <w:r w:rsidRPr="00736400">
        <w:rPr>
          <w:rFonts w:ascii="Times New Roman" w:hAnsi="Times New Roman"/>
          <w:sz w:val="28"/>
          <w:szCs w:val="28"/>
        </w:rPr>
        <w:t xml:space="preserve">рост </w:t>
      </w:r>
      <w:r w:rsidRPr="00736400">
        <w:rPr>
          <w:rFonts w:ascii="Times New Roman" w:hAnsi="Times New Roman"/>
          <w:color w:val="000000"/>
          <w:sz w:val="28"/>
          <w:szCs w:val="28"/>
        </w:rPr>
        <w:t>численности населения трудоспособного возраста до 30,65 тыс. человек.</w:t>
      </w:r>
    </w:p>
    <w:p w:rsidR="00A743C8" w:rsidRDefault="00A743C8" w:rsidP="00CE7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C8E" w:rsidRPr="00CE7C8E" w:rsidRDefault="00CE7C8E" w:rsidP="00CE7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sectPr w:rsidR="00CE7C8E" w:rsidRPr="00CE7C8E" w:rsidSect="00D50C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C3" w:rsidRDefault="009F15C3" w:rsidP="00827DE8">
      <w:pPr>
        <w:spacing w:after="0" w:line="240" w:lineRule="auto"/>
      </w:pPr>
      <w:r>
        <w:separator/>
      </w:r>
    </w:p>
  </w:endnote>
  <w:endnote w:type="continuationSeparator" w:id="0">
    <w:p w:rsidR="009F15C3" w:rsidRDefault="009F15C3" w:rsidP="0082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C3" w:rsidRDefault="009F15C3" w:rsidP="00827DE8">
      <w:pPr>
        <w:spacing w:after="0" w:line="240" w:lineRule="auto"/>
      </w:pPr>
      <w:r>
        <w:separator/>
      </w:r>
    </w:p>
  </w:footnote>
  <w:footnote w:type="continuationSeparator" w:id="0">
    <w:p w:rsidR="009F15C3" w:rsidRDefault="009F15C3" w:rsidP="0082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62"/>
    <w:rsid w:val="00004EEA"/>
    <w:rsid w:val="000156F3"/>
    <w:rsid w:val="00051AA3"/>
    <w:rsid w:val="000A799D"/>
    <w:rsid w:val="00112B4F"/>
    <w:rsid w:val="00126B31"/>
    <w:rsid w:val="00131888"/>
    <w:rsid w:val="00144447"/>
    <w:rsid w:val="00152DCA"/>
    <w:rsid w:val="00160598"/>
    <w:rsid w:val="00165E97"/>
    <w:rsid w:val="00177430"/>
    <w:rsid w:val="001830F5"/>
    <w:rsid w:val="001B71C7"/>
    <w:rsid w:val="001F2962"/>
    <w:rsid w:val="002045DF"/>
    <w:rsid w:val="0021339E"/>
    <w:rsid w:val="00213550"/>
    <w:rsid w:val="00253B59"/>
    <w:rsid w:val="00276FEA"/>
    <w:rsid w:val="002774EB"/>
    <w:rsid w:val="0027756D"/>
    <w:rsid w:val="00280F52"/>
    <w:rsid w:val="00281A78"/>
    <w:rsid w:val="002933F2"/>
    <w:rsid w:val="002D560E"/>
    <w:rsid w:val="002D72EF"/>
    <w:rsid w:val="002E7F34"/>
    <w:rsid w:val="00337F2B"/>
    <w:rsid w:val="0034736B"/>
    <w:rsid w:val="00356F12"/>
    <w:rsid w:val="003827EB"/>
    <w:rsid w:val="00385137"/>
    <w:rsid w:val="00385181"/>
    <w:rsid w:val="00392A6D"/>
    <w:rsid w:val="003A02C8"/>
    <w:rsid w:val="003A6EC1"/>
    <w:rsid w:val="003D33F4"/>
    <w:rsid w:val="003E3732"/>
    <w:rsid w:val="0043095A"/>
    <w:rsid w:val="004312B4"/>
    <w:rsid w:val="00446CFE"/>
    <w:rsid w:val="004611AE"/>
    <w:rsid w:val="00461CF8"/>
    <w:rsid w:val="0046480A"/>
    <w:rsid w:val="00464B47"/>
    <w:rsid w:val="004845E2"/>
    <w:rsid w:val="004947E0"/>
    <w:rsid w:val="00495123"/>
    <w:rsid w:val="004A4A2D"/>
    <w:rsid w:val="004B6BD1"/>
    <w:rsid w:val="004B7D00"/>
    <w:rsid w:val="004E4D44"/>
    <w:rsid w:val="00514B26"/>
    <w:rsid w:val="00516A84"/>
    <w:rsid w:val="00545D6E"/>
    <w:rsid w:val="0057602E"/>
    <w:rsid w:val="0058259E"/>
    <w:rsid w:val="005B1FBD"/>
    <w:rsid w:val="005C4258"/>
    <w:rsid w:val="005E0566"/>
    <w:rsid w:val="005E5E20"/>
    <w:rsid w:val="005F550E"/>
    <w:rsid w:val="00602AB0"/>
    <w:rsid w:val="00605990"/>
    <w:rsid w:val="00613774"/>
    <w:rsid w:val="00632B15"/>
    <w:rsid w:val="00640550"/>
    <w:rsid w:val="00640FEB"/>
    <w:rsid w:val="00651F0D"/>
    <w:rsid w:val="00657A20"/>
    <w:rsid w:val="0066182D"/>
    <w:rsid w:val="006671C5"/>
    <w:rsid w:val="006B3DC2"/>
    <w:rsid w:val="006D3BAB"/>
    <w:rsid w:val="006D45AE"/>
    <w:rsid w:val="006D5970"/>
    <w:rsid w:val="006F18E3"/>
    <w:rsid w:val="00701CDF"/>
    <w:rsid w:val="007343BA"/>
    <w:rsid w:val="00736400"/>
    <w:rsid w:val="00746934"/>
    <w:rsid w:val="00802EB2"/>
    <w:rsid w:val="0080681B"/>
    <w:rsid w:val="00827DE8"/>
    <w:rsid w:val="0084056D"/>
    <w:rsid w:val="008554F3"/>
    <w:rsid w:val="00860493"/>
    <w:rsid w:val="00860B2D"/>
    <w:rsid w:val="00867B4B"/>
    <w:rsid w:val="008843A1"/>
    <w:rsid w:val="008953EF"/>
    <w:rsid w:val="008B5543"/>
    <w:rsid w:val="008C0107"/>
    <w:rsid w:val="008C61D7"/>
    <w:rsid w:val="008D3577"/>
    <w:rsid w:val="008E29C0"/>
    <w:rsid w:val="008F226E"/>
    <w:rsid w:val="00914F71"/>
    <w:rsid w:val="00917689"/>
    <w:rsid w:val="00947978"/>
    <w:rsid w:val="0095317F"/>
    <w:rsid w:val="00954A97"/>
    <w:rsid w:val="00966A48"/>
    <w:rsid w:val="009B0176"/>
    <w:rsid w:val="009C70B3"/>
    <w:rsid w:val="009E47BD"/>
    <w:rsid w:val="009F15C3"/>
    <w:rsid w:val="00A05198"/>
    <w:rsid w:val="00A07E92"/>
    <w:rsid w:val="00A12A30"/>
    <w:rsid w:val="00A2293B"/>
    <w:rsid w:val="00A22F70"/>
    <w:rsid w:val="00A31953"/>
    <w:rsid w:val="00A543CF"/>
    <w:rsid w:val="00A743C8"/>
    <w:rsid w:val="00A80F05"/>
    <w:rsid w:val="00A834D2"/>
    <w:rsid w:val="00A96905"/>
    <w:rsid w:val="00AA3190"/>
    <w:rsid w:val="00AB2CE1"/>
    <w:rsid w:val="00AD67E3"/>
    <w:rsid w:val="00AE2B9A"/>
    <w:rsid w:val="00AF6F6D"/>
    <w:rsid w:val="00B05895"/>
    <w:rsid w:val="00B14A3F"/>
    <w:rsid w:val="00B31486"/>
    <w:rsid w:val="00B40B11"/>
    <w:rsid w:val="00B67F54"/>
    <w:rsid w:val="00B826E9"/>
    <w:rsid w:val="00B96960"/>
    <w:rsid w:val="00BA2CA6"/>
    <w:rsid w:val="00BC3DC5"/>
    <w:rsid w:val="00BC717F"/>
    <w:rsid w:val="00BE6349"/>
    <w:rsid w:val="00C14C26"/>
    <w:rsid w:val="00C52F37"/>
    <w:rsid w:val="00C53C20"/>
    <w:rsid w:val="00C57B6E"/>
    <w:rsid w:val="00C75BE4"/>
    <w:rsid w:val="00CA103A"/>
    <w:rsid w:val="00CB13E2"/>
    <w:rsid w:val="00CB5A65"/>
    <w:rsid w:val="00CC069D"/>
    <w:rsid w:val="00CC078C"/>
    <w:rsid w:val="00CC3146"/>
    <w:rsid w:val="00CE3B02"/>
    <w:rsid w:val="00CE7C8E"/>
    <w:rsid w:val="00D22FDD"/>
    <w:rsid w:val="00D238E5"/>
    <w:rsid w:val="00D50C3E"/>
    <w:rsid w:val="00D61F6F"/>
    <w:rsid w:val="00D6292D"/>
    <w:rsid w:val="00D7616F"/>
    <w:rsid w:val="00DC2ECA"/>
    <w:rsid w:val="00DC5A3F"/>
    <w:rsid w:val="00DD6562"/>
    <w:rsid w:val="00DF3C87"/>
    <w:rsid w:val="00E00B5F"/>
    <w:rsid w:val="00E047B7"/>
    <w:rsid w:val="00E431EF"/>
    <w:rsid w:val="00E612D9"/>
    <w:rsid w:val="00E70F67"/>
    <w:rsid w:val="00E74CCF"/>
    <w:rsid w:val="00EA594A"/>
    <w:rsid w:val="00EB106E"/>
    <w:rsid w:val="00EB5402"/>
    <w:rsid w:val="00EC405A"/>
    <w:rsid w:val="00EC653D"/>
    <w:rsid w:val="00ED07F8"/>
    <w:rsid w:val="00ED571F"/>
    <w:rsid w:val="00ED7618"/>
    <w:rsid w:val="00F14032"/>
    <w:rsid w:val="00F201DB"/>
    <w:rsid w:val="00F402D8"/>
    <w:rsid w:val="00F847E9"/>
    <w:rsid w:val="00F96C20"/>
    <w:rsid w:val="00FA6AC2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1FB02-46D5-4484-8017-0A88EE4B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47B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4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1C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47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E47BD"/>
  </w:style>
  <w:style w:type="paragraph" w:styleId="a6">
    <w:name w:val="header"/>
    <w:basedOn w:val="a"/>
    <w:link w:val="a5"/>
    <w:uiPriority w:val="99"/>
    <w:unhideWhenUsed/>
    <w:rsid w:val="009E47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9E47BD"/>
  </w:style>
  <w:style w:type="paragraph" w:styleId="a8">
    <w:name w:val="footer"/>
    <w:basedOn w:val="a"/>
    <w:link w:val="a7"/>
    <w:uiPriority w:val="99"/>
    <w:unhideWhenUsed/>
    <w:rsid w:val="009E47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a"/>
    <w:uiPriority w:val="99"/>
    <w:rsid w:val="009E47BD"/>
    <w:rPr>
      <w:rFonts w:eastAsia="Calibri"/>
      <w:szCs w:val="20"/>
    </w:rPr>
  </w:style>
  <w:style w:type="paragraph" w:styleId="aa">
    <w:name w:val="Body Text Indent"/>
    <w:basedOn w:val="a"/>
    <w:link w:val="a9"/>
    <w:uiPriority w:val="99"/>
    <w:unhideWhenUsed/>
    <w:rsid w:val="009E47BD"/>
    <w:pPr>
      <w:spacing w:after="120" w:line="240" w:lineRule="auto"/>
      <w:ind w:left="283"/>
    </w:pPr>
    <w:rPr>
      <w:rFonts w:asciiTheme="minorHAnsi" w:hAnsiTheme="minorHAnsi" w:cstheme="minorBidi"/>
      <w:szCs w:val="20"/>
    </w:rPr>
  </w:style>
  <w:style w:type="character" w:customStyle="1" w:styleId="13">
    <w:name w:val="Основной текст с отступом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b">
    <w:name w:val="Название Знак"/>
    <w:basedOn w:val="a0"/>
    <w:link w:val="ac"/>
    <w:rsid w:val="009E47BD"/>
    <w:rPr>
      <w:rFonts w:eastAsia="Times New Roman"/>
      <w:lang w:eastAsia="ru-RU"/>
    </w:rPr>
  </w:style>
  <w:style w:type="paragraph" w:styleId="ac">
    <w:name w:val="Title"/>
    <w:basedOn w:val="a"/>
    <w:link w:val="ab"/>
    <w:qFormat/>
    <w:rsid w:val="009E47BD"/>
    <w:pPr>
      <w:spacing w:after="0" w:line="240" w:lineRule="auto"/>
      <w:jc w:val="center"/>
    </w:pPr>
    <w:rPr>
      <w:rFonts w:asciiTheme="minorHAnsi" w:eastAsia="Times New Roman" w:hAnsiTheme="minorHAnsi" w:cstheme="minorBidi"/>
      <w:lang w:eastAsia="ru-RU"/>
    </w:rPr>
  </w:style>
  <w:style w:type="character" w:customStyle="1" w:styleId="14">
    <w:name w:val="Название Знак1"/>
    <w:basedOn w:val="a0"/>
    <w:uiPriority w:val="10"/>
    <w:rsid w:val="009E4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basedOn w:val="a0"/>
    <w:link w:val="ae"/>
    <w:uiPriority w:val="99"/>
    <w:rsid w:val="009E47BD"/>
  </w:style>
  <w:style w:type="paragraph" w:styleId="ae">
    <w:name w:val="Body Text"/>
    <w:basedOn w:val="a"/>
    <w:link w:val="ad"/>
    <w:uiPriority w:val="99"/>
    <w:unhideWhenUsed/>
    <w:rsid w:val="009E47BD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rsid w:val="009E47BD"/>
    <w:rPr>
      <w:sz w:val="16"/>
      <w:szCs w:val="16"/>
    </w:rPr>
  </w:style>
  <w:style w:type="paragraph" w:styleId="30">
    <w:name w:val="Body Text Indent 3"/>
    <w:basedOn w:val="a"/>
    <w:link w:val="3"/>
    <w:uiPriority w:val="99"/>
    <w:unhideWhenUsed/>
    <w:rsid w:val="009E47BD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E47BD"/>
    <w:rPr>
      <w:rFonts w:ascii="Calibri" w:eastAsia="Calibri" w:hAnsi="Calibri" w:cs="Times New Roman"/>
      <w:sz w:val="16"/>
      <w:szCs w:val="16"/>
    </w:rPr>
  </w:style>
  <w:style w:type="table" w:styleId="af">
    <w:name w:val="Table Grid"/>
    <w:basedOn w:val="a1"/>
    <w:rsid w:val="00CC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36400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rsid w:val="008C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7DC1A83840265F66596C79380907A388E0B2527DD9952CEF5978E6DD2B573EC3CF0128F2C8F298092776800O2I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7DC1A83840265F66596C79380907A3987092C22DB9952CEF5978E6DD2B573EC3CF0128F2C8F298092776800O2I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19F3-22F9-4EE2-B90B-2FC80C42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Атамас</cp:lastModifiedBy>
  <cp:revision>14</cp:revision>
  <cp:lastPrinted>2021-11-13T08:40:00Z</cp:lastPrinted>
  <dcterms:created xsi:type="dcterms:W3CDTF">2021-11-08T12:29:00Z</dcterms:created>
  <dcterms:modified xsi:type="dcterms:W3CDTF">2021-11-19T07:59:00Z</dcterms:modified>
</cp:coreProperties>
</file>