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1F" w:rsidRPr="004A101F" w:rsidRDefault="004A101F" w:rsidP="004A101F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4A101F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4A101F" w:rsidRPr="004A101F" w:rsidRDefault="004A101F" w:rsidP="004A101F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01F" w:rsidRPr="004A101F" w:rsidRDefault="004A101F" w:rsidP="004A101F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101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A101F" w:rsidRPr="004A101F" w:rsidTr="009A491D">
        <w:trPr>
          <w:trHeight w:val="80"/>
        </w:trPr>
        <w:tc>
          <w:tcPr>
            <w:tcW w:w="675" w:type="dxa"/>
          </w:tcPr>
          <w:p w:rsidR="004A101F" w:rsidRPr="004A101F" w:rsidRDefault="00AC62AA" w:rsidP="004A101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4A101F" w:rsidRPr="004A101F" w:rsidRDefault="004A101F" w:rsidP="004A101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A101F"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4A101F" w:rsidRPr="004A101F" w:rsidRDefault="004A101F" w:rsidP="004A101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A101F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4A101F" w:rsidRPr="004A101F" w:rsidRDefault="004A101F" w:rsidP="004A101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A101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A101F" w:rsidRPr="004A101F" w:rsidRDefault="004A101F" w:rsidP="004A101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A101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A101F" w:rsidRPr="004A101F" w:rsidRDefault="00AC62AA" w:rsidP="004A101F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223</w:t>
            </w: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4A101F" w:rsidRDefault="004A101F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F8794C" w:rsidRDefault="006E1BC2" w:rsidP="00531241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E1BC2">
        <w:rPr>
          <w:rFonts w:ascii="Times New Roman" w:hAnsi="Times New Roman"/>
          <w:sz w:val="28"/>
          <w:szCs w:val="28"/>
          <w:lang w:eastAsia="ru-RU"/>
        </w:rPr>
        <w:t xml:space="preserve">О наделении статусом специализированной службы по вопросам похоронного дела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6E1BC2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6E1BC2">
        <w:rPr>
          <w:rFonts w:ascii="Times New Roman" w:hAnsi="Times New Roman"/>
          <w:sz w:val="28"/>
          <w:szCs w:val="28"/>
          <w:lang w:eastAsia="ru-RU"/>
        </w:rPr>
        <w:t xml:space="preserve"> учреждения «</w:t>
      </w:r>
      <w:r>
        <w:rPr>
          <w:rFonts w:ascii="Times New Roman" w:hAnsi="Times New Roman"/>
          <w:sz w:val="28"/>
          <w:szCs w:val="28"/>
          <w:lang w:eastAsia="ru-RU"/>
        </w:rPr>
        <w:t>Комбинат благоустройства»</w:t>
      </w:r>
      <w:r w:rsidRPr="006E1B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1BC2" w:rsidRDefault="006E1BC2" w:rsidP="006E1BC2">
      <w:pPr>
        <w:spacing w:line="240" w:lineRule="exact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6E1BC2" w:rsidRDefault="006E1BC2" w:rsidP="006E1BC2">
      <w:pPr>
        <w:spacing w:line="240" w:lineRule="exact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4A101F" w:rsidRDefault="004A101F" w:rsidP="006E1BC2">
      <w:pPr>
        <w:spacing w:line="240" w:lineRule="exact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4A101F" w:rsidRDefault="004A101F" w:rsidP="006E1BC2">
      <w:pPr>
        <w:spacing w:line="240" w:lineRule="exact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A1181A" w:rsidRDefault="00531241" w:rsidP="006E1BC2">
      <w:pPr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4A1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соответствии </w:t>
      </w:r>
      <w:r w:rsidR="004A1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ф</w:t>
      </w:r>
      <w:r w:rsidR="006E1BC2" w:rsidRPr="006E1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едеральным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законами</w:t>
      </w:r>
      <w:r w:rsidR="006E1BC2" w:rsidRPr="006E1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12 января 1996 года № 8-ФЗ </w:t>
      </w:r>
      <w:r w:rsidR="004A1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6E1BC2" w:rsidRPr="006E1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погребении </w:t>
      </w:r>
      <w:r w:rsidR="004A1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6E1BC2" w:rsidRPr="006E1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похоронном деле», </w:t>
      </w:r>
      <w:r w:rsidR="004A1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6E1BC2" w:rsidRPr="006E1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="004A10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6E1BC2" w:rsidRPr="006E1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6E1BC2" w:rsidRPr="006E1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октября 2003 года № 131-ФЗ «Об общих принципах организации местного самоупра</w:t>
      </w:r>
      <w:r w:rsidR="006E1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вления в Российской Федерации»</w:t>
      </w:r>
      <w:r w:rsidR="006E1BC2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администрация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6E1BC2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:rsidR="006E1BC2" w:rsidRDefault="006E1BC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E1BC2" w:rsidRDefault="006E1BC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E1BC2" w:rsidRPr="0094089E" w:rsidRDefault="006E1BC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6E1BC2" w:rsidRDefault="001E0EE6" w:rsidP="0053124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A1181A">
        <w:rPr>
          <w:rFonts w:ascii="Times New Roman" w:hAnsi="Times New Roman"/>
          <w:sz w:val="28"/>
          <w:szCs w:val="24"/>
        </w:rPr>
        <w:tab/>
      </w:r>
      <w:r w:rsidR="006E1BC2" w:rsidRPr="006E1BC2">
        <w:rPr>
          <w:rFonts w:ascii="Times New Roman" w:hAnsi="Times New Roman"/>
          <w:sz w:val="28"/>
          <w:szCs w:val="24"/>
        </w:rPr>
        <w:t>Наделить статусом специализированной службы по вопросам похоронного дела на территории Благодарненского городского округа Ставропольского края муниципально</w:t>
      </w:r>
      <w:r w:rsidR="006E1BC2">
        <w:rPr>
          <w:rFonts w:ascii="Times New Roman" w:hAnsi="Times New Roman"/>
          <w:sz w:val="28"/>
          <w:szCs w:val="24"/>
        </w:rPr>
        <w:t>е</w:t>
      </w:r>
      <w:r w:rsidR="006E1BC2" w:rsidRPr="006E1BC2">
        <w:rPr>
          <w:rFonts w:ascii="Times New Roman" w:hAnsi="Times New Roman"/>
          <w:sz w:val="28"/>
          <w:szCs w:val="24"/>
        </w:rPr>
        <w:t xml:space="preserve"> учреждени</w:t>
      </w:r>
      <w:r w:rsidR="006E1BC2">
        <w:rPr>
          <w:rFonts w:ascii="Times New Roman" w:hAnsi="Times New Roman"/>
          <w:sz w:val="28"/>
          <w:szCs w:val="24"/>
        </w:rPr>
        <w:t>е</w:t>
      </w:r>
      <w:r w:rsidR="006E1BC2" w:rsidRPr="006E1BC2">
        <w:rPr>
          <w:rFonts w:ascii="Times New Roman" w:hAnsi="Times New Roman"/>
          <w:sz w:val="28"/>
          <w:szCs w:val="24"/>
        </w:rPr>
        <w:t xml:space="preserve"> «Комбинат благоустройства».</w:t>
      </w:r>
    </w:p>
    <w:p w:rsidR="006E1BC2" w:rsidRPr="006E1BC2" w:rsidRDefault="006E1BC2" w:rsidP="0053124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CD5334" w:rsidRDefault="006E1BC2" w:rsidP="0053124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6E1BC2">
        <w:rPr>
          <w:rFonts w:ascii="Times New Roman" w:hAnsi="Times New Roman"/>
          <w:sz w:val="28"/>
          <w:szCs w:val="24"/>
        </w:rPr>
        <w:t>2.</w:t>
      </w:r>
      <w:r w:rsidRPr="006E1BC2">
        <w:rPr>
          <w:rFonts w:ascii="Times New Roman" w:hAnsi="Times New Roman"/>
          <w:sz w:val="28"/>
          <w:szCs w:val="24"/>
        </w:rPr>
        <w:tab/>
        <w:t xml:space="preserve"> Утвердить </w:t>
      </w:r>
      <w:r w:rsidR="00531241">
        <w:rPr>
          <w:rFonts w:ascii="Times New Roman" w:hAnsi="Times New Roman"/>
          <w:sz w:val="28"/>
          <w:szCs w:val="24"/>
        </w:rPr>
        <w:t xml:space="preserve">прилагаемый </w:t>
      </w:r>
      <w:r w:rsidR="006D02D3">
        <w:rPr>
          <w:rFonts w:ascii="Times New Roman" w:hAnsi="Times New Roman"/>
          <w:sz w:val="28"/>
          <w:szCs w:val="24"/>
        </w:rPr>
        <w:t xml:space="preserve">Порядок </w:t>
      </w:r>
      <w:r w:rsidR="006D02D3" w:rsidRPr="006D02D3">
        <w:rPr>
          <w:rFonts w:ascii="Times New Roman" w:hAnsi="Times New Roman"/>
          <w:sz w:val="28"/>
          <w:szCs w:val="24"/>
        </w:rPr>
        <w:t>деятельности специализированной службы по вопросам похоронного дела на территории Благодарненского городского округа Ставропольского края</w:t>
      </w:r>
      <w:r w:rsidR="00531241">
        <w:rPr>
          <w:rFonts w:ascii="Times New Roman" w:hAnsi="Times New Roman"/>
          <w:sz w:val="28"/>
          <w:szCs w:val="24"/>
        </w:rPr>
        <w:t>.</w:t>
      </w:r>
    </w:p>
    <w:p w:rsidR="006E1BC2" w:rsidRDefault="006E1BC2" w:rsidP="0053124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6D02D3" w:rsidRPr="00531241" w:rsidRDefault="006E1BC2" w:rsidP="0053124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Опубликовать настоящее постановление в печатном средстве массовой информации «Известия Благодарненского городского округа Ставропольского края» и разместить на официальном сайте администрации Благодарненского городского округа Ставропольского края в информационно – коммуникационной сети Интернет.</w:t>
      </w:r>
    </w:p>
    <w:p w:rsidR="006D02D3" w:rsidRDefault="006D02D3" w:rsidP="006E1BC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</w:p>
    <w:p w:rsidR="004A101F" w:rsidRDefault="004A101F" w:rsidP="006E1BC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</w:p>
    <w:p w:rsidR="004A101F" w:rsidRDefault="004A101F" w:rsidP="006E1BC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</w:p>
    <w:p w:rsidR="001E0EE6" w:rsidRDefault="006E1BC2" w:rsidP="006E1BC2">
      <w:pPr>
        <w:ind w:firstLine="851"/>
        <w:rPr>
          <w:rFonts w:ascii="Times New Roman" w:hAnsi="Times New Roman"/>
          <w:sz w:val="28"/>
          <w:szCs w:val="24"/>
        </w:rPr>
      </w:pPr>
      <w:r w:rsidRPr="006E1BC2">
        <w:rPr>
          <w:rFonts w:ascii="Times New Roman" w:hAnsi="Times New Roman"/>
          <w:bCs/>
          <w:sz w:val="28"/>
        </w:rPr>
        <w:lastRenderedPageBreak/>
        <w:t>4</w:t>
      </w:r>
      <w:r w:rsidR="00A1181A">
        <w:rPr>
          <w:rFonts w:ascii="Times New Roman" w:hAnsi="Times New Roman"/>
          <w:sz w:val="28"/>
          <w:szCs w:val="24"/>
        </w:rPr>
        <w:t>.</w:t>
      </w:r>
      <w:r w:rsidR="00A1181A">
        <w:rPr>
          <w:rFonts w:ascii="Times New Roman" w:hAnsi="Times New Roman"/>
          <w:sz w:val="28"/>
          <w:szCs w:val="24"/>
        </w:rPr>
        <w:tab/>
      </w:r>
      <w:r w:rsidRPr="006E1BC2">
        <w:rPr>
          <w:rFonts w:ascii="Times New Roman" w:hAnsi="Times New Roman"/>
          <w:sz w:val="28"/>
          <w:szCs w:val="24"/>
        </w:rPr>
        <w:t>Контроль за выполнением настоящего постановления возложить на з</w:t>
      </w:r>
      <w:r w:rsidR="00531241">
        <w:rPr>
          <w:rFonts w:ascii="Times New Roman" w:hAnsi="Times New Roman"/>
          <w:sz w:val="28"/>
          <w:szCs w:val="24"/>
        </w:rPr>
        <w:t xml:space="preserve">аместителя главы администрации - </w:t>
      </w:r>
      <w:r w:rsidRPr="006E1BC2">
        <w:rPr>
          <w:rFonts w:ascii="Times New Roman" w:hAnsi="Times New Roman"/>
          <w:sz w:val="28"/>
          <w:szCs w:val="24"/>
        </w:rPr>
        <w:t>начальника управления по делам территорий администрации Благодарненского городского округа Ставропольского края Чепко В.В.</w:t>
      </w:r>
    </w:p>
    <w:p w:rsidR="006E1BC2" w:rsidRDefault="006E1BC2" w:rsidP="006E1BC2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CD5334" w:rsidRPr="001E0EE6" w:rsidRDefault="00531241" w:rsidP="006E1BC2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5</w:t>
      </w:r>
      <w:r w:rsidR="001E0EE6">
        <w:rPr>
          <w:rFonts w:ascii="Times New Roman" w:hAnsi="Times New Roman"/>
          <w:bCs/>
          <w:sz w:val="28"/>
          <w:szCs w:val="24"/>
        </w:rPr>
        <w:t>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531241" w:rsidRDefault="00531241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4A101F" w:rsidRDefault="004A101F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4A101F" w:rsidRDefault="004A101F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4A101F" w:rsidRDefault="004A101F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531241" w:rsidRDefault="00531241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D52220" w:rsidTr="002C5C8D">
        <w:trPr>
          <w:trHeight w:val="708"/>
        </w:trPr>
        <w:tc>
          <w:tcPr>
            <w:tcW w:w="7479" w:type="dxa"/>
          </w:tcPr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D52220" w:rsidRDefault="003A0761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6E1BC2" w:rsidRDefault="006E1BC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6E1BC2">
        <w:trPr>
          <w:trHeight w:val="1232"/>
        </w:trPr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EC4053" w:rsidRPr="001C01E9" w:rsidRDefault="00AC62AA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февраля 2020 года № 223</w:t>
            </w:r>
          </w:p>
        </w:tc>
      </w:tr>
    </w:tbl>
    <w:p w:rsidR="00531241" w:rsidRDefault="00531241" w:rsidP="00BE0DAC">
      <w:pPr>
        <w:pStyle w:val="31"/>
        <w:shd w:val="clear" w:color="auto" w:fill="auto"/>
        <w:spacing w:before="0" w:line="240" w:lineRule="exac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6D02D3" w:rsidRDefault="006D02D3" w:rsidP="00BE0DAC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B873D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B873D8">
        <w:rPr>
          <w:rFonts w:ascii="Times New Roman" w:hAnsi="Times New Roman"/>
          <w:sz w:val="28"/>
          <w:szCs w:val="28"/>
        </w:rPr>
        <w:t>К</w:t>
      </w:r>
    </w:p>
    <w:p w:rsidR="006D02D3" w:rsidRDefault="006D02D3" w:rsidP="00BE0DAC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B873D8">
        <w:rPr>
          <w:rFonts w:ascii="Times New Roman" w:hAnsi="Times New Roman"/>
          <w:sz w:val="28"/>
          <w:szCs w:val="28"/>
        </w:rPr>
        <w:t>деятельности специализированной службы по вопросам похоронного дела на территории Благодарненского городского округа Ставропольского края</w:t>
      </w:r>
    </w:p>
    <w:p w:rsidR="006D02D3" w:rsidRDefault="006D02D3" w:rsidP="006D02D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A101F" w:rsidRDefault="004A101F" w:rsidP="006D02D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деятельности специализированной службы по вопросам похоронного дела на территории Благодарненского городского округа Ставропольского кр</w:t>
      </w:r>
      <w:r w:rsidR="00531241">
        <w:rPr>
          <w:rFonts w:ascii="Times New Roman" w:hAnsi="Times New Roman"/>
          <w:sz w:val="28"/>
          <w:szCs w:val="28"/>
        </w:rPr>
        <w:t>ая разработан в соответствии с ф</w:t>
      </w:r>
      <w:r>
        <w:rPr>
          <w:rFonts w:ascii="Times New Roman" w:hAnsi="Times New Roman"/>
          <w:sz w:val="28"/>
          <w:szCs w:val="28"/>
        </w:rPr>
        <w:t>едеральным</w:t>
      </w:r>
      <w:r w:rsidR="005312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1241">
        <w:rPr>
          <w:rFonts w:ascii="Times New Roman" w:hAnsi="Times New Roman"/>
          <w:sz w:val="28"/>
          <w:szCs w:val="28"/>
        </w:rPr>
        <w:t xml:space="preserve">законами </w:t>
      </w:r>
      <w:r w:rsidRPr="005736AB">
        <w:rPr>
          <w:rFonts w:ascii="Times New Roman" w:hAnsi="Times New Roman"/>
          <w:sz w:val="28"/>
          <w:szCs w:val="28"/>
        </w:rPr>
        <w:t xml:space="preserve">от 12 января 1996 года № 8-ФЗ «О погребении и похоронном деле»,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5736AB">
          <w:rPr>
            <w:rFonts w:ascii="Times New Roman" w:hAnsi="Times New Roman"/>
            <w:sz w:val="28"/>
            <w:szCs w:val="28"/>
          </w:rPr>
          <w:t>Указом</w:t>
        </w:r>
      </w:hyperlink>
      <w:r w:rsidRPr="005736AB">
        <w:rPr>
          <w:rFonts w:ascii="Times New Roman" w:hAnsi="Times New Roman"/>
          <w:sz w:val="28"/>
          <w:szCs w:val="28"/>
        </w:rPr>
        <w:t xml:space="preserve"> Президента Рос</w:t>
      </w:r>
      <w:r>
        <w:rPr>
          <w:rFonts w:ascii="Times New Roman" w:hAnsi="Times New Roman"/>
          <w:sz w:val="28"/>
          <w:szCs w:val="28"/>
        </w:rPr>
        <w:t>сийской Федерации от 29 июня 1996 года № 1001 «О гарантиях прав граждан на предоставление услуг по погребению умерших» и устанавливает порядок деятельности специализированной службы по вопросам похоронного дела на территории Благодарненского городского округа Ставропольского края (далее - Порядок, специализированная служба).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Специализированная служба - организация, созданная на основании постановления администрации Благодарненского городского округа Ставропольского края, в порядке, установленном законодательством Российской Федерации и муниципальными правовыми актами администрации Благодарненского городского округа Ставропольского края, в целях предоставления услуг согласно гарантированному перечню услуг по погребению на безвозмездной основе и осуществления погребения умерших на территории Благодарненского городского округа Ставропольского края.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Специализированная служба обязана соблюдать требования действующего законодательства, в том числе: 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гарантии по предоставлению гарантированного перечня услуг по погребению на безвозмездной основе; 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качеству оказания услуг, входящих в гарантированный перечень услуг по погребению.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Отказ специализированной службы в предоставлении гарантированного перечня услуг по погребению не допускается.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Стоимость услуг, предоставляемых согласно гарантированному перечню услуг по погребению, утверждается постановлением администрации Благодарненского городского округа Ставропольского края.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Оплата стоимос</w:t>
      </w:r>
      <w:r w:rsidR="00531241">
        <w:rPr>
          <w:rFonts w:ascii="Times New Roman" w:hAnsi="Times New Roman"/>
          <w:sz w:val="28"/>
          <w:szCs w:val="28"/>
        </w:rPr>
        <w:t xml:space="preserve">ти услуг, предоставляемых сверх </w:t>
      </w:r>
      <w:r>
        <w:rPr>
          <w:rFonts w:ascii="Times New Roman" w:hAnsi="Times New Roman"/>
          <w:sz w:val="28"/>
          <w:szCs w:val="28"/>
        </w:rPr>
        <w:t>гарантированного перечня 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 (далее - ответственный за погребение).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Стоимость услуг, предоставляемых согласно гарантированному перечню услуг по погребению, возмещается в соответствии с действующим законодательством Российской Федерации.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Основными видами деятельности специализированной службы являются: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предоставление гарантированного перечня услуг по погребению в соответствии с Федеральным </w:t>
      </w:r>
      <w:hyperlink r:id="rId9" w:history="1">
        <w:r w:rsidRPr="005736AB">
          <w:rPr>
            <w:rFonts w:ascii="Times New Roman" w:hAnsi="Times New Roman"/>
            <w:sz w:val="28"/>
            <w:szCs w:val="28"/>
          </w:rPr>
          <w:t>законом</w:t>
        </w:r>
      </w:hyperlink>
      <w:r w:rsidRPr="005736A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 12 января 1996 года № 8-ФЗ «О погребении и похоронном деле»;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выполнение работ, оказание услуг по погребению на основании заказа на погребение.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Оформление заказа на погребение производится при предъявлении ответственным за погребение следующих документов: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оригинала свидетельства о смерти, выданного органами, осуществляющими государственную регистрацию актов гражданского состояния, или медицинского свидетельства о смерти;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документа, удостоверяющего личность</w:t>
      </w:r>
      <w:r w:rsidR="005312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ответственного за погребение.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Специализированная служба оказывает услуги по погребению умершего на дому, на улице или в ином месте после установления органами внутренних дел его личности,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вышеуказанных органов путем предания земле на определенных для таких случаев участках общественных муниципальных кладбищ.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12.Специализированная служба обязана обеспечить предоставление супругу, близким родственникам, иным родственникам, законному представителю умершего или иному лицу, взявшему на себя обязанность</w:t>
      </w:r>
      <w:r w:rsidR="005312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осуществить погребение умершего, на безвозмездной основе гарантированного перечня услуг по погребению умерших (погибших) в соответствии с Федеральным </w:t>
      </w:r>
      <w:hyperlink r:id="rId10" w:history="1">
        <w:r w:rsidRPr="005736AB">
          <w:rPr>
            <w:rFonts w:ascii="Times New Roman" w:hAnsi="Times New Roman"/>
            <w:sz w:val="28"/>
            <w:szCs w:val="28"/>
          </w:rPr>
          <w:t>законом</w:t>
        </w:r>
      </w:hyperlink>
      <w:r w:rsidRPr="005736AB">
        <w:rPr>
          <w:rFonts w:ascii="Times New Roman" w:hAnsi="Times New Roman"/>
          <w:sz w:val="28"/>
          <w:szCs w:val="28"/>
        </w:rPr>
        <w:t xml:space="preserve"> </w:t>
      </w:r>
      <w:r w:rsidR="00531241" w:rsidRPr="005736AB">
        <w:rPr>
          <w:rFonts w:ascii="Times New Roman" w:hAnsi="Times New Roman"/>
          <w:sz w:val="28"/>
          <w:szCs w:val="28"/>
        </w:rPr>
        <w:t>о</w:t>
      </w:r>
      <w:r w:rsidR="00531241">
        <w:rPr>
          <w:rFonts w:ascii="Times New Roman" w:hAnsi="Times New Roman"/>
          <w:sz w:val="28"/>
          <w:szCs w:val="28"/>
        </w:rPr>
        <w:t xml:space="preserve">т 12 января 1996 года № 8-ФЗ </w:t>
      </w:r>
      <w:r>
        <w:rPr>
          <w:rFonts w:ascii="Times New Roman" w:hAnsi="Times New Roman"/>
          <w:sz w:val="28"/>
          <w:szCs w:val="28"/>
        </w:rPr>
        <w:t>«О погребении и похоронном деле».</w:t>
      </w:r>
    </w:p>
    <w:p w:rsidR="006D02D3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Деятельность специализированной службы должна осуществляться в соответствии с санитарными и экологическими требованиями.</w:t>
      </w:r>
    </w:p>
    <w:p w:rsidR="006E1BC2" w:rsidRDefault="006D02D3" w:rsidP="005312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Контроль за деятельностью специализи</w:t>
      </w:r>
      <w:r w:rsidR="00531241">
        <w:rPr>
          <w:rFonts w:ascii="Times New Roman" w:hAnsi="Times New Roman"/>
          <w:sz w:val="28"/>
          <w:szCs w:val="28"/>
        </w:rPr>
        <w:t>рованной службы осуществляется у</w:t>
      </w:r>
      <w:r>
        <w:rPr>
          <w:rFonts w:ascii="Times New Roman" w:hAnsi="Times New Roman"/>
          <w:sz w:val="28"/>
          <w:szCs w:val="28"/>
        </w:rPr>
        <w:t>правлением по делам территорий администрации Благодарненского городского округа Ставропольского края, в соответствии с действующим законодательством Российской Федерации.</w:t>
      </w:r>
    </w:p>
    <w:p w:rsidR="00531241" w:rsidRDefault="00531241" w:rsidP="0053124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31241" w:rsidRDefault="00531241" w:rsidP="00531241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31241" w:rsidRDefault="00531241" w:rsidP="00531241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531241" w:rsidRPr="00D875BD" w:rsidRDefault="00531241" w:rsidP="00531241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Н.Д. Федюнина</w:t>
      </w:r>
    </w:p>
    <w:sectPr w:rsidR="00531241" w:rsidRPr="00D875BD" w:rsidSect="004A101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4B" w:rsidRDefault="00C3444B">
      <w:r>
        <w:separator/>
      </w:r>
    </w:p>
  </w:endnote>
  <w:endnote w:type="continuationSeparator" w:id="0">
    <w:p w:rsidR="00C3444B" w:rsidRDefault="00C3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4B" w:rsidRDefault="00C3444B">
      <w:r>
        <w:separator/>
      </w:r>
    </w:p>
  </w:footnote>
  <w:footnote w:type="continuationSeparator" w:id="0">
    <w:p w:rsidR="00C3444B" w:rsidRDefault="00C3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158F6"/>
    <w:rsid w:val="0003633E"/>
    <w:rsid w:val="00041B68"/>
    <w:rsid w:val="000473AE"/>
    <w:rsid w:val="00050D5A"/>
    <w:rsid w:val="00051EA0"/>
    <w:rsid w:val="00071835"/>
    <w:rsid w:val="00075837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D2612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0339E"/>
    <w:rsid w:val="00104D0E"/>
    <w:rsid w:val="00114ABB"/>
    <w:rsid w:val="001152DC"/>
    <w:rsid w:val="00120A90"/>
    <w:rsid w:val="00121672"/>
    <w:rsid w:val="00130C93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60DE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2B1E"/>
    <w:rsid w:val="00213AE6"/>
    <w:rsid w:val="002148B0"/>
    <w:rsid w:val="00225E62"/>
    <w:rsid w:val="0023437C"/>
    <w:rsid w:val="00247FB1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5C8D"/>
    <w:rsid w:val="002D2D7D"/>
    <w:rsid w:val="002D7622"/>
    <w:rsid w:val="002F72D6"/>
    <w:rsid w:val="002F7487"/>
    <w:rsid w:val="00301F00"/>
    <w:rsid w:val="0031132B"/>
    <w:rsid w:val="0031277F"/>
    <w:rsid w:val="00313892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0761"/>
    <w:rsid w:val="003A3435"/>
    <w:rsid w:val="003A7EAE"/>
    <w:rsid w:val="003B5F05"/>
    <w:rsid w:val="003C6AB6"/>
    <w:rsid w:val="003C79AC"/>
    <w:rsid w:val="003D7A10"/>
    <w:rsid w:val="003F3A17"/>
    <w:rsid w:val="00407B9C"/>
    <w:rsid w:val="00427D7E"/>
    <w:rsid w:val="00432FDF"/>
    <w:rsid w:val="004374AC"/>
    <w:rsid w:val="0043775D"/>
    <w:rsid w:val="004404F1"/>
    <w:rsid w:val="004425E4"/>
    <w:rsid w:val="00446B1C"/>
    <w:rsid w:val="004537BE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A101F"/>
    <w:rsid w:val="004B3B8F"/>
    <w:rsid w:val="004B49BC"/>
    <w:rsid w:val="004D6DDC"/>
    <w:rsid w:val="004E0375"/>
    <w:rsid w:val="004E4627"/>
    <w:rsid w:val="004F2D33"/>
    <w:rsid w:val="004F538B"/>
    <w:rsid w:val="005014AA"/>
    <w:rsid w:val="00504897"/>
    <w:rsid w:val="005072E4"/>
    <w:rsid w:val="00507E09"/>
    <w:rsid w:val="0051213B"/>
    <w:rsid w:val="00513F34"/>
    <w:rsid w:val="00523980"/>
    <w:rsid w:val="00531241"/>
    <w:rsid w:val="005325A3"/>
    <w:rsid w:val="00541F56"/>
    <w:rsid w:val="00555114"/>
    <w:rsid w:val="005628C6"/>
    <w:rsid w:val="005662AE"/>
    <w:rsid w:val="00583469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F2568"/>
    <w:rsid w:val="005F45C3"/>
    <w:rsid w:val="005F5483"/>
    <w:rsid w:val="005F7964"/>
    <w:rsid w:val="00600D6B"/>
    <w:rsid w:val="00601AA2"/>
    <w:rsid w:val="006041FB"/>
    <w:rsid w:val="0061489E"/>
    <w:rsid w:val="006148EA"/>
    <w:rsid w:val="00617F6E"/>
    <w:rsid w:val="0062577C"/>
    <w:rsid w:val="006276B2"/>
    <w:rsid w:val="00642227"/>
    <w:rsid w:val="006465A4"/>
    <w:rsid w:val="0065171B"/>
    <w:rsid w:val="0066502D"/>
    <w:rsid w:val="00665075"/>
    <w:rsid w:val="00665E3A"/>
    <w:rsid w:val="00670C59"/>
    <w:rsid w:val="00690716"/>
    <w:rsid w:val="0069578F"/>
    <w:rsid w:val="006A1A4D"/>
    <w:rsid w:val="006B5A25"/>
    <w:rsid w:val="006C24D2"/>
    <w:rsid w:val="006C409C"/>
    <w:rsid w:val="006D02D3"/>
    <w:rsid w:val="006D1667"/>
    <w:rsid w:val="006D60D5"/>
    <w:rsid w:val="006D7A4C"/>
    <w:rsid w:val="006E17E8"/>
    <w:rsid w:val="006E1BC2"/>
    <w:rsid w:val="006E3302"/>
    <w:rsid w:val="006E652B"/>
    <w:rsid w:val="007065E2"/>
    <w:rsid w:val="00717C0C"/>
    <w:rsid w:val="007224FD"/>
    <w:rsid w:val="007313C5"/>
    <w:rsid w:val="007420E6"/>
    <w:rsid w:val="00751723"/>
    <w:rsid w:val="00761983"/>
    <w:rsid w:val="00761BBE"/>
    <w:rsid w:val="0077513F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46C10"/>
    <w:rsid w:val="00851626"/>
    <w:rsid w:val="00854B66"/>
    <w:rsid w:val="0086500E"/>
    <w:rsid w:val="00871388"/>
    <w:rsid w:val="0088683F"/>
    <w:rsid w:val="00886C6A"/>
    <w:rsid w:val="00887F72"/>
    <w:rsid w:val="00894FC3"/>
    <w:rsid w:val="008A1B64"/>
    <w:rsid w:val="008A4CF6"/>
    <w:rsid w:val="008B5853"/>
    <w:rsid w:val="008C0FE9"/>
    <w:rsid w:val="008C125D"/>
    <w:rsid w:val="008D1624"/>
    <w:rsid w:val="008D2129"/>
    <w:rsid w:val="008F2947"/>
    <w:rsid w:val="0090437A"/>
    <w:rsid w:val="00904E99"/>
    <w:rsid w:val="00910A8C"/>
    <w:rsid w:val="009134DF"/>
    <w:rsid w:val="009158D5"/>
    <w:rsid w:val="00923952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46AA"/>
    <w:rsid w:val="009A39A2"/>
    <w:rsid w:val="009B5432"/>
    <w:rsid w:val="009D2D04"/>
    <w:rsid w:val="009E5E70"/>
    <w:rsid w:val="009F0779"/>
    <w:rsid w:val="009F36DC"/>
    <w:rsid w:val="009F57A6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2AA"/>
    <w:rsid w:val="00AC6F65"/>
    <w:rsid w:val="00AD1D48"/>
    <w:rsid w:val="00AD3F9C"/>
    <w:rsid w:val="00AD6D1C"/>
    <w:rsid w:val="00AE528B"/>
    <w:rsid w:val="00AF2142"/>
    <w:rsid w:val="00AF7D1A"/>
    <w:rsid w:val="00B00F7A"/>
    <w:rsid w:val="00B131D8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9065D"/>
    <w:rsid w:val="00BA6B3F"/>
    <w:rsid w:val="00BA7AF8"/>
    <w:rsid w:val="00BB6150"/>
    <w:rsid w:val="00BC0C0E"/>
    <w:rsid w:val="00BC440F"/>
    <w:rsid w:val="00BD3288"/>
    <w:rsid w:val="00BD669B"/>
    <w:rsid w:val="00BE0DAC"/>
    <w:rsid w:val="00BE5AAF"/>
    <w:rsid w:val="00BE6C8F"/>
    <w:rsid w:val="00BF43BF"/>
    <w:rsid w:val="00BF5230"/>
    <w:rsid w:val="00C01AEB"/>
    <w:rsid w:val="00C10410"/>
    <w:rsid w:val="00C11362"/>
    <w:rsid w:val="00C11504"/>
    <w:rsid w:val="00C12AFC"/>
    <w:rsid w:val="00C22A77"/>
    <w:rsid w:val="00C254E4"/>
    <w:rsid w:val="00C27063"/>
    <w:rsid w:val="00C2798D"/>
    <w:rsid w:val="00C3444B"/>
    <w:rsid w:val="00C4112C"/>
    <w:rsid w:val="00C43A0C"/>
    <w:rsid w:val="00C43D16"/>
    <w:rsid w:val="00C625D3"/>
    <w:rsid w:val="00C641A0"/>
    <w:rsid w:val="00C70244"/>
    <w:rsid w:val="00C74B77"/>
    <w:rsid w:val="00C81AF4"/>
    <w:rsid w:val="00C82517"/>
    <w:rsid w:val="00C8654F"/>
    <w:rsid w:val="00C9043A"/>
    <w:rsid w:val="00C9367B"/>
    <w:rsid w:val="00C94F92"/>
    <w:rsid w:val="00CA3625"/>
    <w:rsid w:val="00CA5383"/>
    <w:rsid w:val="00CA5FF4"/>
    <w:rsid w:val="00CA6233"/>
    <w:rsid w:val="00CA65D4"/>
    <w:rsid w:val="00CB2C78"/>
    <w:rsid w:val="00CC11A6"/>
    <w:rsid w:val="00CC1C9F"/>
    <w:rsid w:val="00CC51E3"/>
    <w:rsid w:val="00CD00AA"/>
    <w:rsid w:val="00CD0265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53D21"/>
    <w:rsid w:val="00D6118F"/>
    <w:rsid w:val="00D62DE0"/>
    <w:rsid w:val="00D743DC"/>
    <w:rsid w:val="00D85E7D"/>
    <w:rsid w:val="00D86B12"/>
    <w:rsid w:val="00D87470"/>
    <w:rsid w:val="00DB0AA3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36B39"/>
    <w:rsid w:val="00E4663A"/>
    <w:rsid w:val="00E73FDA"/>
    <w:rsid w:val="00E74E83"/>
    <w:rsid w:val="00E85B2D"/>
    <w:rsid w:val="00EB11FA"/>
    <w:rsid w:val="00EC4053"/>
    <w:rsid w:val="00EE6B3F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60919"/>
    <w:rsid w:val="00F6359B"/>
    <w:rsid w:val="00F741E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1E4F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81525-4C34-4DAD-99AD-A65F7E75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character" w:customStyle="1" w:styleId="af4">
    <w:name w:val="Основной текст_"/>
    <w:basedOn w:val="a0"/>
    <w:link w:val="3"/>
    <w:rsid w:val="006E1BC2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E1BC2"/>
    <w:rPr>
      <w:rFonts w:ascii="Arial" w:eastAsia="Arial" w:hAnsi="Arial" w:cs="Arial"/>
      <w:b/>
      <w:bCs/>
      <w:shd w:val="clear" w:color="auto" w:fill="FFFFFF"/>
    </w:rPr>
  </w:style>
  <w:style w:type="paragraph" w:customStyle="1" w:styleId="3">
    <w:name w:val="Основной текст3"/>
    <w:basedOn w:val="a"/>
    <w:link w:val="af4"/>
    <w:rsid w:val="006E1BC2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="Arial" w:eastAsia="Arial" w:hAnsi="Arial" w:cs="Arial"/>
      <w:spacing w:val="1"/>
      <w:sz w:val="21"/>
      <w:szCs w:val="21"/>
      <w:lang w:eastAsia="ru-RU"/>
    </w:rPr>
  </w:style>
  <w:style w:type="paragraph" w:customStyle="1" w:styleId="31">
    <w:name w:val="Основной текст (3)"/>
    <w:basedOn w:val="a"/>
    <w:link w:val="30"/>
    <w:rsid w:val="006E1BC2"/>
    <w:pPr>
      <w:widowControl w:val="0"/>
      <w:shd w:val="clear" w:color="auto" w:fill="FFFFFF"/>
      <w:spacing w:before="480" w:line="274" w:lineRule="exact"/>
      <w:ind w:firstLine="0"/>
      <w:jc w:val="center"/>
    </w:pPr>
    <w:rPr>
      <w:rFonts w:ascii="Arial" w:eastAsia="Arial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rsid w:val="004A10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98921B482D3FC3CFCD8D78B09D850A98BB30F098DE2347DA417375D4FCFC1322F22A0E5C685F2A833D247Q6D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FC07159027F8E13FF350FD4944C3600429C937791A22CA177B9337EF79C78CF004ED43149388239A92336BC9X0Q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46D17FFD472EB4EDE426BDCEF4CC7F043C8683C7F331A36E0FD4A58A744B257DADFF9F8C726F9BD378DD37FB3P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1FD6-F133-4603-B7B0-5ADA8292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Номеровченко</cp:lastModifiedBy>
  <cp:revision>74</cp:revision>
  <cp:lastPrinted>2020-02-27T07:10:00Z</cp:lastPrinted>
  <dcterms:created xsi:type="dcterms:W3CDTF">2018-05-15T18:13:00Z</dcterms:created>
  <dcterms:modified xsi:type="dcterms:W3CDTF">2020-02-27T11:37:00Z</dcterms:modified>
</cp:coreProperties>
</file>