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2</w:t>
      </w:r>
      <w:r w:rsidR="00CD25AC">
        <w:rPr>
          <w:color w:val="000000"/>
          <w:spacing w:val="2"/>
          <w:szCs w:val="28"/>
        </w:rPr>
        <w:t>7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AA5E98">
        <w:rPr>
          <w:color w:val="000000"/>
          <w:spacing w:val="2"/>
          <w:szCs w:val="28"/>
        </w:rPr>
        <w:t>2</w:t>
      </w:r>
      <w:r w:rsidR="00CD25AC">
        <w:rPr>
          <w:color w:val="000000"/>
          <w:spacing w:val="2"/>
          <w:szCs w:val="28"/>
        </w:rPr>
        <w:t>7</w:t>
      </w:r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января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AA5E98">
        <w:rPr>
          <w:color w:val="000000"/>
          <w:spacing w:val="2"/>
          <w:szCs w:val="28"/>
        </w:rPr>
        <w:t>0</w:t>
      </w:r>
      <w:r w:rsidR="00CD25AC">
        <w:rPr>
          <w:color w:val="000000"/>
          <w:spacing w:val="2"/>
          <w:szCs w:val="28"/>
        </w:rPr>
        <w:t>5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</w:t>
      </w:r>
      <w:r w:rsidR="00AA5E98">
        <w:rPr>
          <w:color w:val="000000"/>
          <w:spacing w:val="2"/>
          <w:szCs w:val="28"/>
        </w:rPr>
        <w:t>февраля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654C41"/>
    <w:rsid w:val="007762A3"/>
    <w:rsid w:val="009C44C5"/>
    <w:rsid w:val="00AA5E98"/>
    <w:rsid w:val="00B01A95"/>
    <w:rsid w:val="00B6656E"/>
    <w:rsid w:val="00BA6C7C"/>
    <w:rsid w:val="00CD25AC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7</cp:revision>
  <dcterms:created xsi:type="dcterms:W3CDTF">2018-06-14T10:22:00Z</dcterms:created>
  <dcterms:modified xsi:type="dcterms:W3CDTF">2020-01-24T12:02:00Z</dcterms:modified>
</cp:coreProperties>
</file>